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2145" w:leader="none"/>
        </w:tabs>
        <w:spacing w:before="0" w:after="0"/>
        <w:jc w:val="left"/>
        <w:rPr>
          <w:rFonts w:ascii="Calibri" w:hAnsi="Calibri" w:eastAsia="Calibri" w:cs="Arial"/>
          <w:b/>
          <w:lang w:val="en-US" w:eastAsia="en-US"/>
        </w:rPr>
      </w:pPr>
      <w:r>
        <w:rPr/>
        <w:drawing>
          <wp:inline distT="0" distB="0" distL="0" distR="0">
            <wp:extent cx="2286000" cy="621665"/>
            <wp:effectExtent l="0" t="0" r="0" b="0"/>
            <wp:docPr id="1" name="Slik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
                    <pic:cNvPicPr>
                      <a:picLocks noChangeAspect="1" noChangeArrowheads="1"/>
                    </pic:cNvPicPr>
                  </pic:nvPicPr>
                  <pic:blipFill>
                    <a:blip r:embed="rId2"/>
                    <a:stretch>
                      <a:fillRect/>
                    </a:stretch>
                  </pic:blipFill>
                  <pic:spPr bwMode="auto">
                    <a:xfrm>
                      <a:off x="0" y="0"/>
                      <a:ext cx="2286000" cy="621665"/>
                    </a:xfrm>
                    <a:prstGeom prst="rect">
                      <a:avLst/>
                    </a:prstGeom>
                    <a:noFill/>
                  </pic:spPr>
                </pic:pic>
              </a:graphicData>
            </a:graphic>
          </wp:inline>
        </w:drawing>
      </w:r>
    </w:p>
    <w:p>
      <w:pPr>
        <w:pStyle w:val="Normal"/>
        <w:tabs>
          <w:tab w:val="clear" w:pos="708"/>
          <w:tab w:val="left" w:pos="2145" w:leader="none"/>
        </w:tabs>
        <w:spacing w:before="0" w:after="0"/>
        <w:jc w:val="left"/>
        <w:rPr>
          <w:rFonts w:ascii="Calibri" w:hAnsi="Calibri" w:eastAsia="Calibri" w:cs="Arial"/>
          <w:b/>
          <w:lang w:val="en-US" w:eastAsia="en-US"/>
        </w:rPr>
      </w:pPr>
      <w:r>
        <w:rPr>
          <w:rFonts w:eastAsia="Calibri" w:cs="Arial"/>
          <w:b/>
          <w:lang w:val="en-US" w:eastAsia="en-US"/>
        </w:rPr>
      </w:r>
    </w:p>
    <w:p>
      <w:pPr>
        <w:pStyle w:val="Normal"/>
        <w:tabs>
          <w:tab w:val="clear" w:pos="708"/>
          <w:tab w:val="left" w:pos="2145" w:leader="none"/>
        </w:tabs>
        <w:spacing w:before="0" w:after="0"/>
        <w:jc w:val="left"/>
        <w:rPr>
          <w:rFonts w:ascii="Calibri" w:hAnsi="Calibri" w:eastAsia="Calibri" w:cs="Arial"/>
          <w:b/>
          <w:lang w:val="en-US" w:eastAsia="en-US"/>
        </w:rPr>
      </w:pPr>
      <w:r>
        <w:rPr>
          <w:rFonts w:eastAsia="Calibri" w:cs="Arial"/>
          <w:b/>
          <w:lang w:val="en-US" w:eastAsia="en-US"/>
        </w:rPr>
      </w:r>
    </w:p>
    <w:p>
      <w:pPr>
        <w:pStyle w:val="Normal"/>
        <w:tabs>
          <w:tab w:val="clear" w:pos="708"/>
          <w:tab w:val="left" w:pos="2145" w:leader="none"/>
        </w:tabs>
        <w:spacing w:before="0" w:after="0"/>
        <w:jc w:val="left"/>
        <w:rPr>
          <w:rFonts w:ascii="Calibri" w:hAnsi="Calibri" w:eastAsia="Calibri" w:cs="Arial"/>
          <w:lang w:eastAsia="en-US"/>
        </w:rPr>
      </w:pPr>
      <w:r>
        <w:rPr>
          <w:rFonts w:eastAsia="Calibri" w:cs="Arial"/>
          <w:bCs/>
          <w:lang w:val="en-US" w:eastAsia="en-US"/>
        </w:rPr>
        <w:t>KLASA:</w:t>
      </w:r>
      <w:r>
        <w:rPr>
          <w:rFonts w:eastAsia="Times New Roman" w:cs="Segoe UI" w:ascii="Segoe UI" w:hAnsi="Segoe UI"/>
          <w:b/>
          <w:bCs/>
          <w:color w:val="333333"/>
          <w:kern w:val="2"/>
          <w:sz w:val="36"/>
          <w:szCs w:val="36"/>
          <w:lang w:eastAsia="en-US"/>
          <w14:ligatures w14:val="standardContextual"/>
        </w:rPr>
        <w:t xml:space="preserve"> </w:t>
      </w:r>
      <w:r>
        <w:rPr>
          <w:rFonts w:eastAsia="MS Mincho" w:cs="Calibri"/>
          <w:lang w:eastAsia="en-US"/>
        </w:rPr>
        <w:t>406-01/25-01/871</w:t>
      </w:r>
    </w:p>
    <w:p>
      <w:pPr>
        <w:pStyle w:val="Normal"/>
        <w:tabs>
          <w:tab w:val="clear" w:pos="708"/>
          <w:tab w:val="left" w:pos="2145" w:leader="none"/>
        </w:tabs>
        <w:spacing w:before="0" w:after="0"/>
        <w:jc w:val="left"/>
        <w:rPr>
          <w:rFonts w:ascii="Calibri" w:hAnsi="Calibri" w:eastAsia="Calibri" w:cs="Arial"/>
          <w:bCs/>
          <w:lang w:val="en-US" w:eastAsia="en-US"/>
        </w:rPr>
      </w:pPr>
      <w:r>
        <w:rPr>
          <w:rFonts w:eastAsia="Times New Roman" w:cs="Arial"/>
          <w:lang w:eastAsia="en-US"/>
        </w:rPr>
        <w:t>UR. BROJ:</w:t>
      </w:r>
      <w:r>
        <w:rPr>
          <w:rFonts w:eastAsia="Times New Roman" w:cs="Arial"/>
          <w:color w:val="000000"/>
        </w:rPr>
        <w:t xml:space="preserve"> </w:t>
      </w:r>
      <w:r>
        <w:rPr>
          <w:rFonts w:eastAsia="MS Mincho" w:cs="Calibri"/>
          <w:lang w:eastAsia="en-US"/>
        </w:rPr>
        <w:t>251-756-03-25-2</w:t>
      </w:r>
    </w:p>
    <w:p>
      <w:pPr>
        <w:pStyle w:val="Normal"/>
        <w:spacing w:before="0" w:after="0"/>
        <w:jc w:val="left"/>
        <w:rPr>
          <w:rFonts w:ascii="Calibri" w:hAnsi="Calibri" w:eastAsia="Times New Roman" w:cs="Arial"/>
          <w:color w:val="000000"/>
          <w:lang w:eastAsia="en-US"/>
        </w:rPr>
      </w:pPr>
      <w:r>
        <w:rPr>
          <w:rFonts w:eastAsia="Times New Roman" w:cs="Arial"/>
          <w:color w:val="000000"/>
        </w:rPr>
        <w:t>Zagreb,</w:t>
      </w:r>
      <w:r>
        <w:rPr>
          <w:rFonts w:eastAsia="Times New Roman" w:cs="Arial"/>
          <w:color w:val="000000"/>
          <w:lang w:eastAsia="en-US"/>
        </w:rPr>
        <w:t xml:space="preserve"> 17. studenog 2025.</w:t>
      </w:r>
    </w:p>
    <w:p>
      <w:pPr>
        <w:pStyle w:val="Normal"/>
        <w:spacing w:before="0" w:after="0"/>
        <w:rPr>
          <w:rFonts w:ascii="Calibri" w:hAnsi="Calibri" w:eastAsia="Times New Roman" w:cs="Arial"/>
        </w:rPr>
      </w:pPr>
      <w:r>
        <w:rPr>
          <w:rFonts w:eastAsia="Times New Roman" w:cs="Arial"/>
        </w:rPr>
      </w:r>
    </w:p>
    <w:p>
      <w:pPr>
        <w:pStyle w:val="Normal"/>
        <w:spacing w:before="0" w:after="0"/>
        <w:rPr>
          <w:rFonts w:ascii="Calibri" w:hAnsi="Calibri" w:eastAsia="Times New Roman" w:cs="Arial"/>
        </w:rPr>
      </w:pPr>
      <w:r>
        <w:rPr>
          <w:rFonts w:eastAsia="Times New Roman" w:cs="Arial"/>
        </w:rPr>
      </w:r>
    </w:p>
    <w:p>
      <w:pPr>
        <w:pStyle w:val="Normal"/>
        <w:spacing w:before="0" w:after="0"/>
        <w:ind w:firstLine="373" w:left="6107"/>
        <w:jc w:val="left"/>
        <w:rPr>
          <w:rFonts w:ascii="Calibri" w:hAnsi="Calibri" w:eastAsia="Times New Roman" w:cs="Arial"/>
          <w:b/>
        </w:rPr>
      </w:pPr>
      <w:r>
        <w:rPr>
          <w:rFonts w:eastAsia="Times New Roman" w:cs="Arial"/>
          <w:b/>
        </w:rPr>
        <w:t>Gospodarskim subjektima</w:t>
      </w:r>
    </w:p>
    <w:p>
      <w:pPr>
        <w:pStyle w:val="Normal"/>
        <w:spacing w:before="0" w:after="0"/>
        <w:ind w:right="397"/>
        <w:jc w:val="left"/>
        <w:rPr>
          <w:rFonts w:ascii="Calibri" w:hAnsi="Calibri" w:eastAsia="Times New Roman" w:cs="Arial"/>
          <w:b/>
        </w:rPr>
      </w:pPr>
      <w:r>
        <w:rPr>
          <w:rFonts w:eastAsia="Times New Roman" w:cs="Arial"/>
          <w:b/>
        </w:rPr>
        <w:tab/>
        <w:tab/>
        <w:tab/>
        <w:tab/>
        <w:tab/>
        <w:tab/>
        <w:tab/>
      </w:r>
    </w:p>
    <w:p>
      <w:pPr>
        <w:pStyle w:val="Normal"/>
        <w:spacing w:before="0" w:after="0"/>
        <w:jc w:val="left"/>
        <w:rPr>
          <w:rFonts w:ascii="Calibri" w:hAnsi="Calibri" w:eastAsia="Times New Roman" w:cs="Arial"/>
          <w:b/>
        </w:rPr>
      </w:pPr>
      <w:r>
        <w:rPr>
          <w:rFonts w:eastAsia="Times New Roman" w:cs="Arial"/>
          <w:b/>
        </w:rPr>
        <w:t>PREDMET: Poziv na dostavu ponude</w:t>
      </w:r>
      <w:r>
        <w:rPr>
          <w:rFonts w:eastAsia="Times New Roman" w:cs="Arial"/>
          <w:b/>
          <w:color w:val="C9211E"/>
        </w:rPr>
        <w:t>_1.izmjena</w:t>
      </w:r>
    </w:p>
    <w:p>
      <w:pPr>
        <w:pStyle w:val="Normal"/>
        <w:numPr>
          <w:ilvl w:val="0"/>
          <w:numId w:val="8"/>
        </w:numPr>
        <w:tabs>
          <w:tab w:val="clear" w:pos="708"/>
          <w:tab w:val="left" w:pos="1260" w:leader="none"/>
        </w:tabs>
        <w:spacing w:lineRule="auto" w:line="276" w:before="0" w:after="0"/>
        <w:jc w:val="left"/>
        <w:rPr>
          <w:rFonts w:ascii="Calibri" w:hAnsi="Calibri" w:eastAsia="Times New Roman" w:cs="Arial"/>
        </w:rPr>
      </w:pPr>
      <w:r>
        <w:rPr>
          <w:rFonts w:eastAsia="Times New Roman" w:cs="Arial"/>
        </w:rPr>
        <w:t>dostavlja se-</w:t>
      </w:r>
    </w:p>
    <w:p>
      <w:pPr>
        <w:pStyle w:val="Normal"/>
        <w:spacing w:before="0" w:after="0"/>
        <w:rPr>
          <w:rFonts w:ascii="Calibri" w:hAnsi="Calibri" w:eastAsia="Times New Roman" w:cs="Arial"/>
        </w:rPr>
      </w:pPr>
      <w:r>
        <w:rPr>
          <w:rFonts w:eastAsia="Times New Roman" w:cs="Arial"/>
        </w:rPr>
        <w:t>Poštovani,</w:t>
      </w:r>
    </w:p>
    <w:p>
      <w:pPr>
        <w:pStyle w:val="Normal"/>
        <w:spacing w:before="0" w:after="0"/>
        <w:rPr>
          <w:rFonts w:ascii="Calibri" w:hAnsi="Calibri" w:eastAsia="Times New Roman" w:cs="Arial"/>
        </w:rPr>
      </w:pPr>
      <w:r>
        <w:rPr>
          <w:rFonts w:eastAsia="Times New Roman" w:cs="Arial"/>
        </w:rPr>
      </w:r>
    </w:p>
    <w:p>
      <w:pPr>
        <w:pStyle w:val="Normal"/>
        <w:spacing w:before="0" w:after="0"/>
        <w:rPr>
          <w:rFonts w:ascii="Calibri" w:hAnsi="Calibri" w:eastAsia="Times New Roman" w:cs="Arial"/>
        </w:rPr>
      </w:pPr>
      <w:r>
        <w:rPr>
          <w:rFonts w:eastAsia="Times New Roman" w:cs="Arial"/>
        </w:rPr>
        <w:t>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pravilima, uvjetima i postupcima jednostavne nabave, KLASA: 020-04/23-01/02, URBROJ: 251-12-03-23-1, od 25.05.2023. godine, koji je javno objavljeni na internetskim stranicama Naručitelja.</w:t>
      </w:r>
    </w:p>
    <w:p>
      <w:pPr>
        <w:pStyle w:val="Normal"/>
        <w:spacing w:before="0" w:after="0"/>
        <w:rPr>
          <w:rFonts w:ascii="Calibri" w:hAnsi="Calibri" w:eastAsia="Times New Roman" w:cs="Arial"/>
        </w:rPr>
      </w:pPr>
      <w:r>
        <w:rPr>
          <w:rFonts w:eastAsia="Times New Roman" w:cs="Arial"/>
        </w:rPr>
        <w:t xml:space="preserve"> </w:t>
      </w:r>
    </w:p>
    <w:p>
      <w:pPr>
        <w:pStyle w:val="Normal"/>
        <w:spacing w:before="0" w:after="0"/>
        <w:rPr>
          <w:rFonts w:ascii="Calibri" w:hAnsi="Calibri" w:eastAsia="Times New Roman" w:cs="Calibri"/>
          <w:b/>
          <w:bCs/>
        </w:rPr>
      </w:pPr>
      <w:r>
        <w:rPr>
          <w:rFonts w:eastAsia="Times New Roman" w:cs="Arial"/>
        </w:rPr>
        <w:t xml:space="preserve">DOM ZDRAVLJA ZAGREB - ZAPAD, kao Naručitelj ovim putem poziva Vas da nam dostavite ponudu za predmet nabave: </w:t>
      </w:r>
      <w:r>
        <w:rPr>
          <w:rFonts w:eastAsia="Times New Roman" w:cs="Calibri"/>
          <w:b/>
          <w:bCs/>
        </w:rPr>
        <w:t>Servis i održavanje autoklava i sterilizatora</w:t>
      </w:r>
    </w:p>
    <w:p>
      <w:pPr>
        <w:pStyle w:val="Normal"/>
        <w:spacing w:before="0" w:after="0"/>
        <w:rPr>
          <w:rFonts w:ascii="Calibri" w:hAnsi="Calibri" w:eastAsia="Times New Roman" w:cs="Calibri"/>
        </w:rPr>
      </w:pPr>
      <w:r>
        <w:rPr>
          <w:rFonts w:eastAsia="Times New Roman" w:cs="Calibri"/>
        </w:rPr>
      </w:r>
    </w:p>
    <w:p>
      <w:pPr>
        <w:pStyle w:val="Normal"/>
        <w:spacing w:before="0" w:after="0"/>
        <w:rPr>
          <w:rFonts w:ascii="Calibri" w:hAnsi="Calibri" w:eastAsia="Times New Roman" w:cs="Calibri"/>
        </w:rPr>
      </w:pPr>
      <w:r>
        <w:rPr>
          <w:rFonts w:eastAsia="Times New Roman" w:cs="Arial"/>
        </w:rPr>
        <w:t xml:space="preserve">Evidencijski broj nabave: </w:t>
      </w:r>
      <w:r>
        <w:rPr>
          <w:rFonts w:eastAsia="Times New Roman" w:cs="Calibri"/>
        </w:rPr>
        <w:t>28/25-JN</w:t>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rPr>
      </w:pPr>
      <w:r>
        <w:rPr>
          <w:rFonts w:eastAsia="Times New Roman" w:cs="Arial"/>
        </w:rPr>
        <w:t>Procijenjena vrijednost nabave: 26.500,00 eura (bez PDV-a). U iznos procijenjene vrijednosti nabave uvršten je i objedinjeni iznos od 1.200,00 eura (bez PDV-a).</w:t>
      </w:r>
    </w:p>
    <w:p>
      <w:pPr>
        <w:pStyle w:val="Normal"/>
        <w:spacing w:before="0" w:after="0"/>
        <w:rPr>
          <w:rFonts w:ascii="Calibri" w:hAnsi="Calibri" w:eastAsia="Times New Roman" w:cs="Arial"/>
          <w:b/>
          <w:bCs/>
          <w:u w:val="single"/>
        </w:rPr>
      </w:pPr>
      <w:r>
        <w:rPr>
          <w:rFonts w:eastAsia="Times New Roman" w:cs="Arial"/>
          <w:b/>
          <w:bCs/>
          <w:u w:val="single"/>
        </w:rPr>
        <w:t>Naručitelj ima osigurano ukupno 25.300,00 € (bez PDV-a) za stavke troškovnika, a 1.200,00 € (bez PDV-a) je fiksni iznos koji ponuditelj ne nudi.</w:t>
      </w:r>
    </w:p>
    <w:p>
      <w:pPr>
        <w:pStyle w:val="Normal"/>
        <w:spacing w:before="0" w:after="0"/>
        <w:rPr>
          <w:rFonts w:ascii="Calibri" w:hAnsi="Calibri" w:eastAsia="Times New Roman" w:cs="Arial"/>
        </w:rPr>
      </w:pPr>
      <w:r>
        <w:rPr>
          <w:rFonts w:eastAsia="Times New Roman" w:cs="Arial"/>
        </w:rPr>
      </w:r>
    </w:p>
    <w:p>
      <w:pPr>
        <w:pStyle w:val="Normal"/>
        <w:spacing w:before="0" w:after="0"/>
        <w:rPr>
          <w:rFonts w:ascii="Calibri" w:hAnsi="Calibri" w:eastAsia="Times New Roman" w:cs="Arial"/>
        </w:rPr>
      </w:pPr>
      <w:r>
        <w:rPr>
          <w:rFonts w:eastAsia="Times New Roman" w:cs="Arial"/>
        </w:rPr>
      </w:r>
    </w:p>
    <w:p>
      <w:pPr>
        <w:pStyle w:val="Normal"/>
        <w:spacing w:before="0" w:after="0"/>
        <w:rPr>
          <w:rFonts w:ascii="Calibri" w:hAnsi="Calibri" w:eastAsia="Times New Roman" w:cs="Arial"/>
        </w:rPr>
      </w:pPr>
      <w:r>
        <w:rPr>
          <w:rFonts w:eastAsia="Times New Roman" w:cs="Arial"/>
        </w:rPr>
        <w:t>U privitku ovog Poziva dostavljamo Vam opis predmeta nabave i popis dokumenata koje trebate dostaviti u svojoj ponudi.</w:t>
      </w:r>
    </w:p>
    <w:p>
      <w:pPr>
        <w:pStyle w:val="Normal"/>
        <w:numPr>
          <w:ilvl w:val="0"/>
          <w:numId w:val="0"/>
        </w:numPr>
        <w:spacing w:before="0" w:after="0"/>
        <w:ind w:hanging="0" w:left="0"/>
        <w:outlineLvl w:val="0"/>
        <w:rPr>
          <w:rFonts w:ascii="Calibri" w:hAnsi="Calibri" w:eastAsia="Times New Roman" w:cs="Arial"/>
        </w:rPr>
      </w:pPr>
      <w:r>
        <w:rPr>
          <w:rFonts w:eastAsia="Times New Roman" w:cs="Arial"/>
        </w:rPr>
      </w:r>
    </w:p>
    <w:p>
      <w:pPr>
        <w:pStyle w:val="Normal"/>
        <w:numPr>
          <w:ilvl w:val="0"/>
          <w:numId w:val="0"/>
        </w:numPr>
        <w:ind w:hanging="0" w:left="0"/>
        <w:outlineLvl w:val="0"/>
        <w:rPr>
          <w:rFonts w:ascii="Calibri" w:hAnsi="Calibri" w:cs="Calibri"/>
          <w:color w:val="000000"/>
        </w:rPr>
      </w:pPr>
      <w:r>
        <w:rPr>
          <w:rFonts w:eastAsia="Times New Roman" w:cs="Arial"/>
        </w:rPr>
        <w:t xml:space="preserve">Vašu ponudu molimo dostaviti najkasnije do </w:t>
      </w:r>
      <w:r>
        <w:rPr>
          <w:rFonts w:eastAsia="Times New Roman" w:cs="Arial"/>
          <w:b/>
          <w:strike/>
        </w:rPr>
        <w:t>25. studenog 2025. godine do 10:00 sati</w:t>
      </w:r>
      <w:r>
        <w:rPr>
          <w:rFonts w:eastAsia="Times New Roman" w:cs="Arial"/>
          <w:b/>
        </w:rPr>
        <w:t xml:space="preserve"> </w:t>
      </w:r>
      <w:r>
        <w:rPr>
          <w:rFonts w:eastAsia="Times New Roman" w:cs="Arial"/>
          <w:b/>
          <w:color w:val="C9211E"/>
        </w:rPr>
        <w:t>02.prosinca 2025.</w:t>
      </w:r>
      <w:r>
        <w:rPr>
          <w:rFonts w:eastAsia="Times New Roman" w:cs="Arial"/>
          <w:b/>
        </w:rPr>
        <w:t xml:space="preserve"> </w:t>
      </w:r>
      <w:r>
        <w:rPr>
          <w:rFonts w:eastAsia="Times New Roman" w:cs="Arial"/>
          <w:b/>
          <w:color w:val="C9211E"/>
        </w:rPr>
        <w:t xml:space="preserve">do 12 h </w:t>
      </w:r>
      <w:r>
        <w:rPr>
          <w:rFonts w:cs="Calibri"/>
          <w:color w:val="000000"/>
        </w:rPr>
        <w:t>isključivo u digitalnom obliku putem web aplikacije Naručitelja.</w:t>
      </w:r>
    </w:p>
    <w:p>
      <w:pPr>
        <w:pStyle w:val="Normal"/>
        <w:numPr>
          <w:ilvl w:val="0"/>
          <w:numId w:val="0"/>
        </w:numPr>
        <w:spacing w:before="0" w:after="0"/>
        <w:ind w:hanging="0" w:left="0"/>
        <w:outlineLvl w:val="0"/>
        <w:rPr>
          <w:rFonts w:ascii="Calibri" w:hAnsi="Calibri" w:eastAsia="Times New Roman" w:cs="Arial"/>
          <w:b/>
        </w:rPr>
      </w:pPr>
      <w:r>
        <w:rPr>
          <w:rFonts w:eastAsia="Times New Roman" w:cs="Arial"/>
          <w:b/>
        </w:rPr>
      </w:r>
    </w:p>
    <w:p>
      <w:pPr>
        <w:pStyle w:val="Normal"/>
        <w:tabs>
          <w:tab w:val="clear" w:pos="708"/>
          <w:tab w:val="left" w:pos="357" w:leader="none"/>
        </w:tabs>
        <w:spacing w:before="0" w:after="0"/>
        <w:rPr>
          <w:rFonts w:ascii="Calibri" w:hAnsi="Calibri" w:eastAsia="Times New Roman" w:cs="Arial"/>
        </w:rPr>
      </w:pPr>
      <w:r>
        <w:rPr>
          <w:rFonts w:eastAsia="Times New Roman" w:cs="Arial"/>
        </w:rPr>
        <w:t>Ponudu otvaraju osobe koje provode nabavu. Za postupak jednostavne nabave ne provodi se javno otvaranje ponuda.</w:t>
      </w:r>
    </w:p>
    <w:p>
      <w:pPr>
        <w:pStyle w:val="Normal"/>
        <w:tabs>
          <w:tab w:val="clear" w:pos="708"/>
          <w:tab w:val="left" w:pos="357" w:leader="none"/>
        </w:tabs>
        <w:spacing w:before="0" w:after="0"/>
        <w:rPr>
          <w:rFonts w:ascii="Calibri" w:hAnsi="Calibri" w:eastAsia="Times New Roman" w:cs="Arial"/>
        </w:rPr>
      </w:pPr>
      <w:r>
        <w:rPr>
          <w:rFonts w:eastAsia="Times New Roman" w:cs="Arial"/>
        </w:rPr>
      </w:r>
    </w:p>
    <w:p>
      <w:pPr>
        <w:pStyle w:val="Normal"/>
        <w:spacing w:before="0" w:after="0"/>
        <w:rPr>
          <w:rFonts w:ascii="Calibri" w:hAnsi="Calibri" w:eastAsia="Times New Roman" w:cs="Arial"/>
        </w:rPr>
      </w:pPr>
      <w:r>
        <w:rPr>
          <w:rFonts w:eastAsia="Times New Roman" w:cs="Arial"/>
        </w:rPr>
      </w:r>
    </w:p>
    <w:p>
      <w:pPr>
        <w:pStyle w:val="Normal"/>
        <w:spacing w:before="0" w:after="0"/>
        <w:rPr>
          <w:rFonts w:ascii="Calibri" w:hAnsi="Calibri" w:eastAsia="Times New Roman" w:cs="Arial"/>
        </w:rPr>
      </w:pPr>
      <w:r>
        <w:rPr>
          <w:rFonts w:eastAsia="Times New Roman" w:cs="Arial"/>
        </w:rPr>
      </w:r>
    </w:p>
    <w:p>
      <w:pPr>
        <w:pStyle w:val="Normal"/>
        <w:spacing w:before="0" w:after="0"/>
        <w:rPr>
          <w:rFonts w:ascii="Calibri" w:hAnsi="Calibri" w:eastAsia="Times New Roman" w:cs="Arial"/>
        </w:rPr>
      </w:pPr>
      <w:r>
        <w:rPr>
          <w:rFonts w:eastAsia="Times New Roman" w:cs="Arial"/>
        </w:rPr>
      </w:r>
    </w:p>
    <w:p>
      <w:pPr>
        <w:pStyle w:val="Normal"/>
        <w:spacing w:before="0" w:after="0"/>
        <w:rPr>
          <w:rFonts w:ascii="Calibri" w:hAnsi="Calibri" w:eastAsia="Times New Roman" w:cs="Arial"/>
        </w:rPr>
      </w:pPr>
      <w:r>
        <w:rPr>
          <w:rFonts w:eastAsia="Times New Roman" w:cs="Arial"/>
        </w:rPr>
      </w:r>
    </w:p>
    <w:p>
      <w:pPr>
        <w:pStyle w:val="Normal"/>
        <w:spacing w:before="0" w:after="0"/>
        <w:rPr>
          <w:rFonts w:ascii="Calibri" w:hAnsi="Calibri" w:eastAsia="Times New Roman" w:cs="Arial"/>
        </w:rPr>
      </w:pPr>
      <w:r>
        <w:rPr>
          <w:rFonts w:eastAsia="Times New Roman" w:cs="Arial"/>
        </w:rPr>
      </w:r>
    </w:p>
    <w:p>
      <w:pPr>
        <w:pStyle w:val="Normal"/>
        <w:spacing w:before="0" w:after="0"/>
        <w:rPr>
          <w:rFonts w:ascii="Calibri" w:hAnsi="Calibri" w:eastAsia="Times New Roman" w:cs="Arial"/>
        </w:rPr>
      </w:pPr>
      <w:r>
        <w:rPr>
          <w:rFonts w:eastAsia="Times New Roman" w:cs="Arial"/>
        </w:rPr>
      </w:r>
    </w:p>
    <w:p>
      <w:pPr>
        <w:pStyle w:val="Normal"/>
        <w:spacing w:before="0" w:after="0"/>
        <w:rPr>
          <w:rFonts w:ascii="Calibri" w:hAnsi="Calibri" w:eastAsia="Times New Roman" w:cs="Arial"/>
        </w:rPr>
      </w:pPr>
      <w:r>
        <w:rPr>
          <w:rFonts w:eastAsia="Times New Roman" w:cs="Arial"/>
        </w:rPr>
      </w:r>
    </w:p>
    <w:p>
      <w:pPr>
        <w:pStyle w:val="Normal"/>
        <w:spacing w:before="0" w:after="0"/>
        <w:rPr>
          <w:rFonts w:ascii="Calibri" w:hAnsi="Calibri" w:eastAsia="Times New Roman" w:cs="Arial"/>
        </w:rPr>
      </w:pPr>
      <w:r>
        <w:rPr>
          <w:rFonts w:eastAsia="Times New Roman" w:cs="Arial"/>
        </w:rPr>
      </w:r>
    </w:p>
    <w:p>
      <w:pPr>
        <w:pStyle w:val="Normal"/>
        <w:spacing w:before="0" w:after="0"/>
        <w:rPr>
          <w:rFonts w:ascii="Calibri" w:hAnsi="Calibri" w:eastAsia="Times New Roman" w:cs="Arial"/>
        </w:rPr>
      </w:pPr>
      <w:r>
        <w:rPr>
          <w:rFonts w:eastAsia="Times New Roman" w:cs="Arial"/>
        </w:rPr>
      </w:r>
    </w:p>
    <w:p>
      <w:pPr>
        <w:pStyle w:val="Normal"/>
        <w:spacing w:before="0" w:after="0"/>
        <w:rPr>
          <w:rFonts w:ascii="Calibri" w:hAnsi="Calibri" w:eastAsia="Times New Roman" w:cs="Arial"/>
        </w:rPr>
      </w:pPr>
      <w:r>
        <w:rPr>
          <w:rFonts w:eastAsia="Times New Roman" w:cs="Arial"/>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r>
    </w:p>
    <w:p>
      <w:pPr>
        <w:pStyle w:val="Normal"/>
        <w:spacing w:before="0" w:after="0"/>
        <w:rPr>
          <w:rFonts w:ascii="Calibri" w:hAnsi="Calibri" w:eastAsia="Times New Roman" w:cs="Arial"/>
          <w:b/>
        </w:rPr>
      </w:pPr>
      <w:r>
        <w:rPr>
          <w:rFonts w:eastAsia="Times New Roman" w:cs="Arial"/>
          <w:b/>
        </w:rPr>
        <w:t>Prilozi:</w:t>
      </w:r>
    </w:p>
    <w:p>
      <w:pPr>
        <w:pStyle w:val="Normal"/>
        <w:spacing w:before="0" w:after="0"/>
        <w:rPr>
          <w:rFonts w:ascii="Calibri" w:hAnsi="Calibri" w:eastAsia="Times New Roman" w:cs="Arial"/>
        </w:rPr>
      </w:pPr>
      <w:r>
        <w:rPr>
          <w:rFonts w:eastAsia="Times New Roman" w:cs="Arial"/>
        </w:rPr>
      </w:r>
    </w:p>
    <w:p>
      <w:pPr>
        <w:pStyle w:val="Normal"/>
        <w:numPr>
          <w:ilvl w:val="0"/>
          <w:numId w:val="9"/>
        </w:numPr>
        <w:spacing w:lineRule="auto" w:line="276" w:before="0" w:after="0"/>
        <w:jc w:val="left"/>
        <w:rPr>
          <w:rFonts w:ascii="Calibri" w:hAnsi="Calibri" w:eastAsia="Times New Roman" w:cs="Arial"/>
        </w:rPr>
      </w:pPr>
      <w:r>
        <w:rPr>
          <w:rFonts w:eastAsia="Times New Roman" w:cs="Arial"/>
        </w:rPr>
        <w:t>Troškovnik (Prilog 1.)</w:t>
      </w:r>
    </w:p>
    <w:p>
      <w:pPr>
        <w:pStyle w:val="Normal"/>
        <w:numPr>
          <w:ilvl w:val="0"/>
          <w:numId w:val="9"/>
        </w:numPr>
        <w:spacing w:lineRule="auto" w:line="276" w:before="0" w:after="0"/>
        <w:jc w:val="left"/>
        <w:rPr>
          <w:rFonts w:ascii="Calibri" w:hAnsi="Calibri" w:eastAsia="Times New Roman" w:cs="Arial"/>
        </w:rPr>
      </w:pPr>
      <w:r>
        <w:rPr>
          <w:rFonts w:eastAsia="Times New Roman" w:cs="Arial"/>
        </w:rPr>
        <w:t>Ponudbeni list za zajednicu i podugovaratelje (Prilog 2.)</w:t>
      </w:r>
    </w:p>
    <w:p>
      <w:pPr>
        <w:pStyle w:val="Normal"/>
        <w:numPr>
          <w:ilvl w:val="0"/>
          <w:numId w:val="9"/>
        </w:numPr>
        <w:spacing w:lineRule="auto" w:line="276" w:before="0" w:after="0"/>
        <w:jc w:val="left"/>
        <w:rPr>
          <w:rFonts w:ascii="Calibri" w:hAnsi="Calibri" w:eastAsia="Times New Roman" w:cs="Arial"/>
        </w:rPr>
      </w:pPr>
      <w:r>
        <w:rPr>
          <w:rFonts w:eastAsia="Times New Roman" w:cs="Arial"/>
        </w:rPr>
        <w:t>Izjava o nekažnjavanju (Prilog 3.)</w:t>
      </w:r>
    </w:p>
    <w:p>
      <w:pPr>
        <w:pStyle w:val="Normal"/>
        <w:numPr>
          <w:ilvl w:val="0"/>
          <w:numId w:val="9"/>
        </w:numPr>
        <w:spacing w:lineRule="auto" w:line="276" w:before="0" w:after="0"/>
        <w:jc w:val="left"/>
        <w:rPr>
          <w:rFonts w:ascii="Calibri" w:hAnsi="Calibri" w:eastAsia="Times New Roman" w:cs="Arial"/>
        </w:rPr>
      </w:pPr>
      <w:r>
        <w:rPr>
          <w:rFonts w:eastAsia="Times New Roman" w:cs="Arial"/>
        </w:rPr>
        <w:t>Tehnička specifikacija (Prilog 4.)</w:t>
      </w:r>
    </w:p>
    <w:p>
      <w:pPr>
        <w:pStyle w:val="Normal"/>
        <w:numPr>
          <w:ilvl w:val="0"/>
          <w:numId w:val="9"/>
        </w:numPr>
        <w:spacing w:lineRule="auto" w:line="276" w:before="0" w:after="0"/>
        <w:jc w:val="left"/>
        <w:rPr>
          <w:rFonts w:ascii="Calibri" w:hAnsi="Calibri" w:eastAsia="Times New Roman" w:cs="Arial"/>
        </w:rPr>
      </w:pPr>
      <w:r>
        <w:rPr>
          <w:rFonts w:eastAsia="Times New Roman" w:cs="Arial"/>
        </w:rPr>
        <w:t>Popis Sterilizatora (Prilog 5.)</w:t>
      </w:r>
    </w:p>
    <w:p>
      <w:pPr>
        <w:pStyle w:val="Normal"/>
        <w:numPr>
          <w:ilvl w:val="0"/>
          <w:numId w:val="9"/>
        </w:numPr>
        <w:spacing w:lineRule="auto" w:line="276" w:before="0" w:after="0"/>
        <w:jc w:val="left"/>
        <w:rPr>
          <w:rFonts w:ascii="Calibri" w:hAnsi="Calibri" w:eastAsia="Times New Roman" w:cs="Arial"/>
        </w:rPr>
      </w:pPr>
      <w:r>
        <w:rPr>
          <w:rFonts w:eastAsia="Times New Roman" w:cs="Arial"/>
        </w:rPr>
        <w:t>Popis autoklava (Prilog 6.)</w:t>
      </w:r>
    </w:p>
    <w:p>
      <w:pPr>
        <w:pStyle w:val="Normal"/>
        <w:spacing w:before="0" w:after="0"/>
        <w:rPr>
          <w:rFonts w:ascii="Calibri" w:hAnsi="Calibri" w:eastAsia="Times New Roman" w:cs="Arial"/>
        </w:rPr>
      </w:pPr>
      <w:r>
        <w:rPr>
          <w:rFonts w:eastAsia="Times New Roman" w:cs="Arial"/>
        </w:rPr>
      </w:r>
    </w:p>
    <w:p>
      <w:pPr>
        <w:pStyle w:val="Normal"/>
        <w:tabs>
          <w:tab w:val="clear" w:pos="708"/>
          <w:tab w:val="left" w:pos="5220" w:leader="none"/>
        </w:tabs>
        <w:rPr>
          <w:rFonts w:ascii="Calibri" w:hAnsi="Calibri" w:cs="Calibri"/>
          <w:bCs/>
          <w:iCs/>
        </w:rPr>
      </w:pPr>
      <w:r>
        <w:rPr>
          <w:rFonts w:cs="Calibri"/>
          <w:bCs/>
          <w:iCs/>
        </w:rPr>
        <w:t>Dostaviti:</w:t>
      </w:r>
    </w:p>
    <w:p>
      <w:pPr>
        <w:pStyle w:val="Normal"/>
        <w:numPr>
          <w:ilvl w:val="0"/>
          <w:numId w:val="13"/>
        </w:numPr>
        <w:tabs>
          <w:tab w:val="clear" w:pos="708"/>
          <w:tab w:val="left" w:pos="720" w:leader="none"/>
          <w:tab w:val="left" w:pos="5670" w:leader="none"/>
        </w:tabs>
        <w:spacing w:lineRule="auto" w:line="276" w:before="0" w:after="0"/>
        <w:ind w:hanging="360" w:left="720"/>
        <w:rPr>
          <w:rFonts w:ascii="Calibri" w:hAnsi="Calibri" w:cs="Calibri"/>
          <w:iCs/>
        </w:rPr>
      </w:pPr>
      <w:r>
        <w:rPr>
          <w:rFonts w:cs="Calibri"/>
          <w:iCs/>
        </w:rPr>
        <w:t>Ponuditeljima objavom na web stranici</w:t>
      </w:r>
    </w:p>
    <w:p>
      <w:pPr>
        <w:pStyle w:val="Normal"/>
        <w:numPr>
          <w:ilvl w:val="0"/>
          <w:numId w:val="14"/>
        </w:numPr>
        <w:tabs>
          <w:tab w:val="clear" w:pos="708"/>
          <w:tab w:val="left" w:pos="720" w:leader="none"/>
          <w:tab w:val="left" w:pos="5670" w:leader="none"/>
        </w:tabs>
        <w:spacing w:lineRule="auto" w:line="276" w:before="0" w:after="0"/>
        <w:ind w:hanging="360" w:left="720"/>
        <w:rPr>
          <w:rFonts w:ascii="Calibri" w:hAnsi="Calibri" w:cs="Calibri"/>
          <w:iCs/>
        </w:rPr>
      </w:pPr>
      <w:r>
        <w:rPr>
          <w:rFonts w:cs="Calibri"/>
          <w:iCs/>
        </w:rPr>
        <w:t>Pismohrana</w:t>
      </w:r>
    </w:p>
    <w:p>
      <w:pPr>
        <w:pStyle w:val="Normal"/>
        <w:tabs>
          <w:tab w:val="clear" w:pos="708"/>
          <w:tab w:val="left" w:pos="5670" w:leader="none"/>
        </w:tabs>
        <w:spacing w:lineRule="auto" w:line="276" w:before="0" w:after="0"/>
        <w:rPr>
          <w:rFonts w:ascii="Calibri" w:hAnsi="Calibri" w:cs="Calibri"/>
          <w:iCs/>
        </w:rPr>
      </w:pPr>
      <w:r>
        <w:rPr>
          <w:rFonts w:cs="Calibri"/>
          <w:iCs/>
        </w:rPr>
      </w:r>
    </w:p>
    <w:p>
      <w:pPr>
        <w:pStyle w:val="Normal"/>
        <w:tabs>
          <w:tab w:val="clear" w:pos="708"/>
          <w:tab w:val="left" w:pos="5670" w:leader="none"/>
        </w:tabs>
        <w:spacing w:lineRule="auto" w:line="276" w:before="0" w:after="0"/>
        <w:rPr>
          <w:rFonts w:ascii="Calibri" w:hAnsi="Calibri" w:cs="Calibri"/>
          <w:iCs/>
        </w:rPr>
      </w:pPr>
      <w:r>
        <w:rPr>
          <w:rFonts w:cs="Calibri"/>
          <w:iCs/>
        </w:rPr>
      </w:r>
    </w:p>
    <w:p>
      <w:pPr>
        <w:pStyle w:val="Normal"/>
        <w:rPr>
          <w:rFonts w:cs="Calibri" w:cstheme="minorHAnsi"/>
          <w:b/>
          <w:bCs/>
          <w:color w:themeColor="accent1" w:themeShade="bf" w:val="2F5496"/>
        </w:rPr>
      </w:pPr>
      <w:r>
        <w:rPr>
          <w:rFonts w:cs="Calibri" w:cstheme="minorHAnsi"/>
          <w:b/>
          <w:bCs/>
          <w:color w:themeColor="accent1" w:themeShade="bf" w:val="2F5496"/>
        </w:rPr>
        <w:t xml:space="preserve">UPUTE PONUDITELJIMA </w:t>
      </w:r>
    </w:p>
    <w:p>
      <w:pPr>
        <w:pStyle w:val="Normal"/>
        <w:rPr>
          <w:rFonts w:cs="Calibri" w:cstheme="minorHAnsi"/>
          <w:b/>
          <w:bCs/>
          <w:color w:themeColor="accent1" w:themeShade="bf" w:val="2F5496"/>
        </w:rPr>
      </w:pPr>
      <w:r>
        <w:rPr>
          <w:rFonts w:cs="Calibri" w:cstheme="minorHAnsi"/>
          <w:b/>
          <w:bCs/>
          <w:color w:themeColor="accent1" w:themeShade="bf" w:val="2F5496"/>
        </w:rPr>
      </w:r>
    </w:p>
    <w:p>
      <w:pPr>
        <w:pStyle w:val="Normal"/>
        <w:spacing w:lineRule="auto" w:line="259" w:before="0" w:after="160"/>
        <w:rPr>
          <w:rFonts w:cs="Calibri" w:cstheme="minorHAnsi"/>
        </w:rPr>
      </w:pPr>
      <w:r>
        <w:rPr>
          <w:rFonts w:cs="Calibri" w:cstheme="minorHAnsi"/>
        </w:rPr>
        <w:t xml:space="preserve">Podnošenjem svoje ponude Ponuditelj u cijelosti i bez ikakvih ograničenja prihvaća sve uvjete iz ovog Poziva na dostavu ponuda. </w:t>
      </w:r>
    </w:p>
    <w:p>
      <w:pPr>
        <w:pStyle w:val="Normal"/>
        <w:spacing w:lineRule="auto" w:line="259" w:before="0" w:after="160"/>
        <w:rPr>
          <w:rFonts w:cs="Calibri" w:cstheme="minorHAnsi"/>
        </w:rPr>
      </w:pPr>
      <w:r>
        <w:rPr>
          <w:rFonts w:cs="Calibri" w:cstheme="minorHAnsi"/>
        </w:rPr>
        <w:t xml:space="preserve">Ponuda je izjava volje Ponuditelja u pisanom obliku da će izvršiti predmet nabave u skladu s uvjetima i zahtjevima navedenima u Pozivu na dostava ponuda. </w:t>
      </w:r>
    </w:p>
    <w:p>
      <w:pPr>
        <w:pStyle w:val="Normal"/>
        <w:spacing w:lineRule="auto" w:line="259" w:before="0" w:after="160"/>
        <w:rPr>
          <w:rFonts w:cs="Calibri" w:cstheme="minorHAnsi"/>
        </w:rPr>
      </w:pPr>
      <w:r>
        <w:rPr>
          <w:rFonts w:cs="Calibri" w:cstheme="minorHAnsi"/>
        </w:rPr>
        <w:t xml:space="preserve">Pri izradi ponude Ponuditelj se mora pridržavati zahtjeva i uvjeta iz Poziva na dostavu ponuda te ne smije mijenjati ni nadopunjavati tekst Poziva na dostavu ponuda (osim dijelova obrazaca i troškovnika koje je potrebno popuniti). </w:t>
      </w:r>
    </w:p>
    <w:p>
      <w:pPr>
        <w:pStyle w:val="Normal"/>
        <w:spacing w:lineRule="auto" w:line="259" w:before="0" w:after="160"/>
        <w:rPr>
          <w:rFonts w:cs="Calibri" w:cstheme="minorHAnsi"/>
        </w:rPr>
      </w:pPr>
      <w:r>
        <w:rPr>
          <w:rFonts w:cs="Calibri" w:cstheme="minorHAnsi"/>
        </w:rPr>
        <w:t xml:space="preserve">Ponuda obvezuje Ponuditelja do isteka roka valjanosti ponude, a na zahtjev Naručitelja Ponuditelj može produžiti rok valjanosti svoje ponude. </w:t>
      </w:r>
    </w:p>
    <w:p>
      <w:pPr>
        <w:pStyle w:val="Normal"/>
        <w:spacing w:lineRule="auto" w:line="259" w:before="0" w:after="160"/>
        <w:jc w:val="left"/>
        <w:rPr>
          <w:rFonts w:cs="Calibri" w:cstheme="minorHAnsi"/>
        </w:rPr>
      </w:pPr>
      <w:r>
        <w:rPr>
          <w:rFonts w:cs="Calibri" w:cstheme="minorHAnsi"/>
        </w:rPr>
      </w:r>
    </w:p>
    <w:p>
      <w:pPr>
        <w:pStyle w:val="Normal"/>
        <w:spacing w:lineRule="auto" w:line="259" w:before="0" w:after="160"/>
        <w:jc w:val="left"/>
        <w:rPr>
          <w:rFonts w:cs="Calibri" w:cstheme="minorHAnsi"/>
        </w:rPr>
      </w:pPr>
      <w:r>
        <w:rPr>
          <w:rFonts w:cs="Calibri" w:cstheme="minorHAnsi"/>
        </w:rPr>
      </w:r>
    </w:p>
    <w:p>
      <w:pPr>
        <w:pStyle w:val="Normal"/>
        <w:spacing w:lineRule="auto" w:line="259" w:before="0" w:after="160"/>
        <w:jc w:val="left"/>
        <w:rPr>
          <w:rFonts w:cs="Calibri" w:cstheme="minorHAnsi"/>
        </w:rPr>
      </w:pPr>
      <w:r>
        <w:rPr>
          <w:rFonts w:cs="Calibri" w:cstheme="minorHAnsi"/>
        </w:rPr>
      </w:r>
    </w:p>
    <w:p>
      <w:pPr>
        <w:pStyle w:val="Normal"/>
        <w:spacing w:lineRule="auto" w:line="259" w:before="0" w:after="160"/>
        <w:jc w:val="left"/>
        <w:rPr>
          <w:rFonts w:cs="Calibri" w:cstheme="minorHAnsi"/>
        </w:rPr>
      </w:pPr>
      <w:r>
        <w:rPr>
          <w:rFonts w:cs="Calibri" w:cstheme="minorHAnsi"/>
        </w:rPr>
      </w:r>
    </w:p>
    <w:p>
      <w:pPr>
        <w:pStyle w:val="Normal"/>
        <w:spacing w:lineRule="auto" w:line="259" w:before="0" w:after="160"/>
        <w:jc w:val="left"/>
        <w:rPr>
          <w:rFonts w:cs="Calibri" w:cstheme="minorHAnsi"/>
        </w:rPr>
      </w:pPr>
      <w:r>
        <w:rPr>
          <w:rFonts w:cs="Calibri" w:cstheme="minorHAnsi"/>
        </w:rPr>
      </w:r>
    </w:p>
    <w:p>
      <w:pPr>
        <w:pStyle w:val="Normal"/>
        <w:spacing w:lineRule="auto" w:line="259" w:before="0" w:after="160"/>
        <w:jc w:val="left"/>
        <w:rPr>
          <w:rFonts w:cs="Calibri" w:cstheme="minorHAnsi"/>
        </w:rPr>
      </w:pPr>
      <w:r>
        <w:rPr>
          <w:rFonts w:cs="Calibri" w:cstheme="minorHAnsi"/>
        </w:rPr>
      </w:r>
    </w:p>
    <w:p>
      <w:pPr>
        <w:pStyle w:val="Normal"/>
        <w:spacing w:lineRule="auto" w:line="259" w:before="0" w:after="160"/>
        <w:jc w:val="left"/>
        <w:rPr>
          <w:rFonts w:cs="Calibri" w:cstheme="minorHAnsi"/>
        </w:rPr>
      </w:pPr>
      <w:r>
        <w:rPr>
          <w:rFonts w:cs="Calibri" w:cstheme="minorHAnsi"/>
        </w:rPr>
      </w:r>
    </w:p>
    <w:p>
      <w:pPr>
        <w:pStyle w:val="Normal"/>
        <w:spacing w:lineRule="auto" w:line="259" w:before="0" w:after="160"/>
        <w:jc w:val="left"/>
        <w:rPr>
          <w:rFonts w:cs="Calibri" w:cstheme="minorHAnsi"/>
        </w:rPr>
      </w:pPr>
      <w:r>
        <w:rPr>
          <w:rFonts w:cs="Calibri" w:cstheme="minorHAnsi"/>
        </w:rPr>
      </w:r>
    </w:p>
    <w:p>
      <w:pPr>
        <w:pStyle w:val="Normal"/>
        <w:spacing w:lineRule="auto" w:line="259" w:before="0" w:after="160"/>
        <w:jc w:val="left"/>
        <w:rPr>
          <w:rFonts w:cs="Calibri" w:cstheme="minorHAnsi"/>
        </w:rPr>
      </w:pPr>
      <w:r>
        <w:rPr>
          <w:rFonts w:cs="Calibri" w:cstheme="minorHAnsi"/>
        </w:rPr>
      </w:r>
    </w:p>
    <w:p>
      <w:pPr>
        <w:pStyle w:val="Normal"/>
        <w:spacing w:lineRule="auto" w:line="259" w:before="0" w:after="160"/>
        <w:jc w:val="left"/>
        <w:rPr>
          <w:rFonts w:cs="Calibri" w:cstheme="minorHAnsi"/>
        </w:rPr>
      </w:pPr>
      <w:r>
        <w:rPr>
          <w:rFonts w:cs="Calibri" w:cstheme="minorHAnsi"/>
        </w:rPr>
      </w:r>
    </w:p>
    <w:p>
      <w:pPr>
        <w:pStyle w:val="Normal"/>
        <w:spacing w:lineRule="auto" w:line="259" w:before="0" w:after="160"/>
        <w:jc w:val="left"/>
        <w:rPr>
          <w:rFonts w:cs="Calibri" w:cstheme="minorHAnsi"/>
        </w:rPr>
      </w:pPr>
      <w:r>
        <w:rPr>
          <w:rFonts w:cs="Calibri" w:cstheme="minorHAnsi"/>
        </w:rPr>
      </w:r>
    </w:p>
    <w:p>
      <w:pPr>
        <w:pStyle w:val="Normal"/>
        <w:spacing w:lineRule="auto" w:line="259" w:before="0" w:after="160"/>
        <w:jc w:val="left"/>
        <w:rPr>
          <w:rFonts w:cs="Calibri" w:cstheme="minorHAnsi"/>
        </w:rPr>
      </w:pPr>
      <w:r>
        <w:rPr>
          <w:rFonts w:cs="Calibri" w:cstheme="minorHAnsi"/>
        </w:rPr>
      </w:r>
    </w:p>
    <w:p>
      <w:pPr>
        <w:pStyle w:val="Normal"/>
        <w:spacing w:lineRule="auto" w:line="259" w:before="0" w:after="160"/>
        <w:jc w:val="left"/>
        <w:rPr>
          <w:rFonts w:cs="Calibri" w:cstheme="minorHAnsi"/>
        </w:rPr>
      </w:pPr>
      <w:r>
        <w:rPr>
          <w:rFonts w:cs="Calibri" w:cstheme="minorHAnsi"/>
        </w:rPr>
      </w:r>
    </w:p>
    <w:p>
      <w:pPr>
        <w:pStyle w:val="Normal"/>
        <w:spacing w:lineRule="auto" w:line="259" w:before="0" w:after="160"/>
        <w:jc w:val="left"/>
        <w:rPr>
          <w:rFonts w:cs="Calibri" w:cstheme="minorHAnsi"/>
        </w:rPr>
      </w:pPr>
      <w:r>
        <w:rPr>
          <w:rFonts w:cs="Calibri" w:cstheme="minorHAnsi"/>
        </w:rPr>
      </w:r>
    </w:p>
    <w:p>
      <w:pPr>
        <w:pStyle w:val="Normal"/>
        <w:spacing w:lineRule="auto" w:line="259" w:before="0" w:after="160"/>
        <w:jc w:val="left"/>
        <w:rPr>
          <w:rFonts w:cs="Calibri" w:cstheme="minorHAnsi"/>
        </w:rPr>
      </w:pPr>
      <w:r>
        <w:rPr>
          <w:rFonts w:cs="Calibri" w:cstheme="minorHAnsi"/>
        </w:rPr>
      </w:r>
    </w:p>
    <w:p>
      <w:pPr>
        <w:pStyle w:val="Normal"/>
        <w:spacing w:lineRule="auto" w:line="259" w:before="0" w:after="160"/>
        <w:jc w:val="left"/>
        <w:rPr>
          <w:rFonts w:cs="Calibri" w:cstheme="minorHAnsi"/>
        </w:rPr>
      </w:pPr>
      <w:r>
        <w:rPr>
          <w:rFonts w:cs="Calibri" w:cstheme="minorHAnsi"/>
        </w:rPr>
      </w:r>
    </w:p>
    <w:p>
      <w:pPr>
        <w:pStyle w:val="Normal"/>
        <w:spacing w:lineRule="auto" w:line="259" w:before="0" w:after="160"/>
        <w:jc w:val="left"/>
        <w:rPr>
          <w:rFonts w:cs="Calibri" w:cstheme="minorHAnsi"/>
        </w:rPr>
      </w:pPr>
      <w:r>
        <w:rPr>
          <w:rFonts w:cs="Calibri" w:cstheme="minorHAnsi"/>
        </w:rPr>
      </w:r>
    </w:p>
    <w:p>
      <w:pPr>
        <w:pStyle w:val="Normal"/>
        <w:spacing w:lineRule="auto" w:line="259" w:before="0" w:after="160"/>
        <w:jc w:val="left"/>
        <w:rPr>
          <w:rFonts w:cs="Calibri" w:cstheme="minorHAnsi"/>
        </w:rPr>
      </w:pPr>
      <w:r>
        <w:rPr>
          <w:rFonts w:cs="Calibri" w:cstheme="minorHAnsi"/>
        </w:rPr>
      </w:r>
    </w:p>
    <w:p>
      <w:pPr>
        <w:pStyle w:val="Normal"/>
        <w:spacing w:lineRule="auto" w:line="259" w:before="0" w:after="160"/>
        <w:jc w:val="left"/>
        <w:rPr>
          <w:rFonts w:cs="Calibri" w:cstheme="minorHAnsi"/>
        </w:rPr>
      </w:pPr>
      <w:r>
        <w:rPr>
          <w:rFonts w:cs="Calibri" w:cstheme="minorHAnsi"/>
        </w:rPr>
      </w:r>
    </w:p>
    <w:p>
      <w:pPr>
        <w:pStyle w:val="Normal"/>
        <w:spacing w:lineRule="auto" w:line="259" w:before="0" w:after="160"/>
        <w:jc w:val="left"/>
        <w:rPr>
          <w:rFonts w:cs="Calibri" w:cstheme="minorHAnsi"/>
        </w:rPr>
      </w:pPr>
      <w:r>
        <w:rPr>
          <w:rFonts w:cs="Calibri" w:cstheme="minorHAnsi"/>
        </w:rPr>
      </w:r>
    </w:p>
    <w:p>
      <w:pPr>
        <w:pStyle w:val="Heading1"/>
        <w:numPr>
          <w:ilvl w:val="0"/>
          <w:numId w:val="1"/>
        </w:numPr>
        <w:ind w:hanging="360" w:left="360"/>
        <w:rPr/>
      </w:pPr>
      <w:bookmarkStart w:id="0" w:name="_Toc94776962"/>
      <w:bookmarkStart w:id="1" w:name="_Toc112177947"/>
      <w:bookmarkStart w:id="2" w:name="_Toc506910651"/>
      <w:r>
        <w:rPr/>
        <w:t>OPĆI PODACI</w:t>
      </w:r>
      <w:bookmarkEnd w:id="0"/>
      <w:bookmarkEnd w:id="1"/>
      <w:bookmarkEnd w:id="2"/>
      <w:r>
        <w:rPr/>
        <w:t xml:space="preserve"> </w:t>
      </w:r>
    </w:p>
    <w:p>
      <w:pPr>
        <w:pStyle w:val="Heading1"/>
        <w:numPr>
          <w:ilvl w:val="0"/>
          <w:numId w:val="0"/>
        </w:numPr>
        <w:ind w:hanging="0" w:left="0"/>
        <w:rPr/>
      </w:pPr>
      <w:r>
        <w:rPr/>
      </w:r>
    </w:p>
    <w:tbl>
      <w:tblPr>
        <w:tblW w:w="1017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27"/>
        <w:gridCol w:w="5245"/>
      </w:tblGrid>
      <w:tr>
        <w:trPr/>
        <w:tc>
          <w:tcPr>
            <w:tcW w:w="4927" w:type="dxa"/>
            <w:tcBorders>
              <w:top w:val="single" w:sz="4" w:space="0" w:color="000000"/>
              <w:left w:val="single" w:sz="4" w:space="0" w:color="000000"/>
              <w:bottom w:val="single" w:sz="4" w:space="0" w:color="000000"/>
              <w:right w:val="single" w:sz="4" w:space="0" w:color="000000"/>
            </w:tcBorders>
          </w:tcPr>
          <w:p>
            <w:pPr>
              <w:pStyle w:val="Normal"/>
              <w:spacing w:before="0" w:after="120"/>
              <w:rPr>
                <w:b/>
                <w:bCs/>
              </w:rPr>
            </w:pPr>
            <w:bookmarkStart w:id="3" w:name="_Toc423081799"/>
            <w:r>
              <w:rPr>
                <w:b/>
                <w:bCs/>
                <w:lang w:val="x-none"/>
              </w:rPr>
              <w:t>1.1. Podaci o Naručitelju</w:t>
            </w:r>
            <w:bookmarkEnd w:id="3"/>
          </w:p>
        </w:tc>
        <w:tc>
          <w:tcPr>
            <w:tcW w:w="5245" w:type="dxa"/>
            <w:tcBorders>
              <w:top w:val="single" w:sz="4" w:space="0" w:color="000000"/>
              <w:left w:val="single" w:sz="4" w:space="0" w:color="000000"/>
              <w:bottom w:val="single" w:sz="4" w:space="0" w:color="000000"/>
              <w:right w:val="single" w:sz="4" w:space="0" w:color="000000"/>
            </w:tcBorders>
          </w:tcPr>
          <w:p>
            <w:pPr>
              <w:pStyle w:val="Normal"/>
              <w:rPr/>
            </w:pPr>
            <w:r>
              <w:rPr/>
              <w:t>Dom zdravlja Zagreb - Zapad</w:t>
            </w:r>
          </w:p>
          <w:p>
            <w:pPr>
              <w:pStyle w:val="Normal"/>
              <w:rPr/>
            </w:pPr>
            <w:bookmarkStart w:id="4" w:name="_Hlk150199988"/>
            <w:r>
              <w:rPr/>
              <w:t xml:space="preserve">Prilaz baruna Filipovića 11 </w:t>
            </w:r>
            <w:bookmarkEnd w:id="4"/>
            <w:r>
              <w:rPr/>
              <w:t>, 10 000 Zagreb</w:t>
            </w:r>
          </w:p>
          <w:p>
            <w:pPr>
              <w:pStyle w:val="Normal"/>
              <w:rPr/>
            </w:pPr>
            <w:r>
              <w:rPr/>
              <w:t>OIB: 66896155710</w:t>
            </w:r>
          </w:p>
          <w:p>
            <w:pPr>
              <w:pStyle w:val="Normal"/>
              <w:rPr/>
            </w:pPr>
            <w:r>
              <w:rPr/>
              <w:t>01/3774-312</w:t>
            </w:r>
          </w:p>
          <w:p>
            <w:pPr>
              <w:pStyle w:val="Normal"/>
              <w:rPr>
                <w:u w:val="single"/>
              </w:rPr>
            </w:pPr>
            <w:hyperlink r:id="rId3">
              <w:r>
                <w:rPr>
                  <w:rStyle w:val="Hyperlink"/>
                </w:rPr>
                <w:t>ravnateljstvo@dzz-zapad.hr</w:t>
              </w:r>
            </w:hyperlink>
          </w:p>
          <w:p>
            <w:pPr>
              <w:pStyle w:val="Normal"/>
              <w:widowControl/>
              <w:bidi w:val="0"/>
              <w:spacing w:lineRule="auto" w:line="240" w:before="0" w:after="120"/>
              <w:jc w:val="both"/>
              <w:rPr/>
            </w:pPr>
            <w:r>
              <w:rPr/>
              <w:t>www.dzz-zapad.hr</w:t>
            </w:r>
          </w:p>
        </w:tc>
      </w:tr>
      <w:tr>
        <w:trPr/>
        <w:tc>
          <w:tcPr>
            <w:tcW w:w="4927" w:type="dxa"/>
            <w:tcBorders>
              <w:top w:val="single" w:sz="4" w:space="0" w:color="000000"/>
              <w:left w:val="single" w:sz="4" w:space="0" w:color="000000"/>
              <w:bottom w:val="single" w:sz="4" w:space="0" w:color="000000"/>
              <w:right w:val="single" w:sz="4" w:space="0" w:color="000000"/>
            </w:tcBorders>
          </w:tcPr>
          <w:p>
            <w:pPr>
              <w:pStyle w:val="Normal"/>
              <w:spacing w:before="0" w:after="120"/>
              <w:rPr>
                <w:b/>
              </w:rPr>
            </w:pPr>
            <w:r>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40" w:before="0" w:after="120"/>
              <w:jc w:val="both"/>
              <w:rPr/>
            </w:pPr>
            <w:r>
              <w:rPr/>
              <w:t>Lidija Hrastić - Novak, dr.med., v.d. ravnateljice</w:t>
            </w:r>
          </w:p>
        </w:tc>
      </w:tr>
      <w:tr>
        <w:trPr/>
        <w:tc>
          <w:tcPr>
            <w:tcW w:w="4927" w:type="dxa"/>
            <w:tcBorders>
              <w:top w:val="single" w:sz="4" w:space="0" w:color="000000"/>
              <w:left w:val="single" w:sz="4" w:space="0" w:color="000000"/>
              <w:bottom w:val="single" w:sz="4" w:space="0" w:color="000000"/>
              <w:right w:val="single" w:sz="4" w:space="0" w:color="000000"/>
            </w:tcBorders>
          </w:tcPr>
          <w:p>
            <w:pPr>
              <w:pStyle w:val="Normal"/>
              <w:spacing w:before="0" w:after="120"/>
              <w:rPr>
                <w:b/>
                <w:bCs/>
              </w:rPr>
            </w:pPr>
            <w:bookmarkStart w:id="5" w:name="_Toc423081800"/>
            <w:r>
              <w:rPr>
                <w:b/>
                <w:bCs/>
                <w:lang w:val="x-none"/>
              </w:rPr>
              <w:t>1.2. Osob</w:t>
            </w:r>
            <w:r>
              <w:rPr>
                <w:b/>
                <w:bCs/>
              </w:rPr>
              <w:t>a</w:t>
            </w:r>
            <w:r>
              <w:rPr>
                <w:b/>
                <w:bCs/>
                <w:lang w:val="x-none"/>
              </w:rPr>
              <w:t xml:space="preserve"> zadužene za kontakt s ponuditeljima</w:t>
            </w:r>
            <w:bookmarkEnd w:id="5"/>
          </w:p>
        </w:tc>
        <w:tc>
          <w:tcPr>
            <w:tcW w:w="5245" w:type="dxa"/>
            <w:tcBorders>
              <w:top w:val="single" w:sz="4" w:space="0" w:color="000000"/>
              <w:left w:val="single" w:sz="4" w:space="0" w:color="000000"/>
              <w:bottom w:val="single" w:sz="4" w:space="0" w:color="000000"/>
              <w:right w:val="single" w:sz="4" w:space="0" w:color="000000"/>
            </w:tcBorders>
          </w:tcPr>
          <w:p>
            <w:pPr>
              <w:pStyle w:val="Normal"/>
              <w:spacing w:before="0" w:after="0"/>
              <w:rPr/>
            </w:pPr>
            <w:r>
              <w:rPr/>
            </w:r>
          </w:p>
          <w:p>
            <w:pPr>
              <w:pStyle w:val="Heading1"/>
              <w:numPr>
                <w:ilvl w:val="0"/>
                <w:numId w:val="0"/>
              </w:numPr>
              <w:spacing w:before="0" w:after="0"/>
              <w:ind w:hanging="360" w:left="360"/>
              <w:rPr>
                <w:b w:val="false"/>
                <w:bCs w:val="false"/>
                <w:color w:val="auto"/>
              </w:rPr>
            </w:pPr>
            <w:r>
              <w:rPr>
                <w:b w:val="false"/>
                <w:bCs w:val="false"/>
                <w:color w:val="auto"/>
              </w:rPr>
              <w:t>Marina Švaganović, mag.oec., voditeljica odjela nabave</w:t>
            </w:r>
          </w:p>
          <w:p>
            <w:pPr>
              <w:pStyle w:val="Heading1"/>
              <w:numPr>
                <w:ilvl w:val="0"/>
                <w:numId w:val="0"/>
              </w:numPr>
              <w:spacing w:before="0" w:after="0"/>
              <w:ind w:hanging="360" w:left="360"/>
              <w:rPr>
                <w:b w:val="false"/>
                <w:bCs w:val="false"/>
                <w:color w:val="auto"/>
              </w:rPr>
            </w:pPr>
            <w:r>
              <w:rPr>
                <w:b w:val="false"/>
                <w:bCs w:val="false"/>
                <w:color w:val="auto"/>
              </w:rPr>
              <w:t>Mob: 091/3876511</w:t>
            </w:r>
          </w:p>
          <w:p>
            <w:pPr>
              <w:pStyle w:val="Normal"/>
              <w:rPr/>
            </w:pPr>
            <w:hyperlink r:id="rId4">
              <w:r>
                <w:rPr>
                  <w:rStyle w:val="Hyperlink"/>
                  <w:color w:val="auto"/>
                </w:rPr>
                <w:t>marina.svaganovic@dzz-zapad.hr</w:t>
              </w:r>
            </w:hyperlink>
          </w:p>
          <w:p>
            <w:pPr>
              <w:pStyle w:val="Normal"/>
              <w:rPr/>
            </w:pPr>
            <w:r>
              <w:rPr/>
            </w:r>
          </w:p>
          <w:p>
            <w:pPr>
              <w:pStyle w:val="Heading1"/>
              <w:numPr>
                <w:ilvl w:val="0"/>
                <w:numId w:val="0"/>
              </w:numPr>
              <w:spacing w:before="0" w:after="0"/>
              <w:ind w:hanging="360" w:left="360"/>
              <w:rPr>
                <w:b w:val="false"/>
                <w:bCs w:val="false"/>
                <w:color w:val="auto"/>
              </w:rPr>
            </w:pPr>
            <w:r>
              <w:rPr>
                <w:b w:val="false"/>
                <w:bCs w:val="false"/>
                <w:color w:val="auto"/>
              </w:rPr>
              <w:t>Antonija Peršić Demšić, dipl.oec., viši stručni savjetnik</w:t>
            </w:r>
          </w:p>
          <w:p>
            <w:pPr>
              <w:pStyle w:val="Heading1"/>
              <w:numPr>
                <w:ilvl w:val="0"/>
                <w:numId w:val="0"/>
              </w:numPr>
              <w:spacing w:before="0" w:after="0"/>
              <w:ind w:hanging="360" w:left="360"/>
              <w:rPr>
                <w:b w:val="false"/>
                <w:bCs w:val="false"/>
                <w:color w:val="auto"/>
              </w:rPr>
            </w:pPr>
            <w:r>
              <w:rPr>
                <w:b w:val="false"/>
                <w:bCs w:val="false"/>
                <w:color w:val="auto"/>
              </w:rPr>
              <w:t>Mob: 091/3876617</w:t>
            </w:r>
          </w:p>
          <w:p>
            <w:pPr>
              <w:pStyle w:val="Normal"/>
              <w:widowControl/>
              <w:bidi w:val="0"/>
              <w:spacing w:lineRule="auto" w:line="240" w:before="0" w:after="120"/>
              <w:jc w:val="both"/>
              <w:rPr/>
            </w:pPr>
            <w:hyperlink r:id="rId5">
              <w:r>
                <w:rPr>
                  <w:rStyle w:val="Hyperlink"/>
                </w:rPr>
                <w:t>antonija.persic.demsic@dzz-zapad.hr</w:t>
              </w:r>
            </w:hyperlink>
          </w:p>
        </w:tc>
      </w:tr>
      <w:tr>
        <w:trPr/>
        <w:tc>
          <w:tcPr>
            <w:tcW w:w="4927" w:type="dxa"/>
            <w:tcBorders>
              <w:top w:val="single" w:sz="4" w:space="0" w:color="000000"/>
              <w:left w:val="single" w:sz="4" w:space="0" w:color="000000"/>
              <w:bottom w:val="single" w:sz="4" w:space="0" w:color="000000"/>
              <w:right w:val="single" w:sz="4" w:space="0" w:color="000000"/>
            </w:tcBorders>
          </w:tcPr>
          <w:p>
            <w:pPr>
              <w:pStyle w:val="Normal"/>
              <w:spacing w:before="0" w:after="120"/>
              <w:rPr>
                <w:b/>
                <w:bCs/>
              </w:rPr>
            </w:pPr>
            <w:r>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120"/>
              <w:rPr>
                <w:b/>
                <w:bCs/>
              </w:rPr>
            </w:pPr>
            <w:r>
              <w:rPr>
                <w:b/>
                <w:bCs/>
              </w:rPr>
              <w:t>Servis i održavanje autoklava i sterilizatora</w:t>
            </w:r>
          </w:p>
        </w:tc>
      </w:tr>
      <w:tr>
        <w:trPr/>
        <w:tc>
          <w:tcPr>
            <w:tcW w:w="4927" w:type="dxa"/>
            <w:tcBorders>
              <w:top w:val="single" w:sz="4" w:space="0" w:color="000000"/>
              <w:left w:val="single" w:sz="4" w:space="0" w:color="000000"/>
              <w:bottom w:val="single" w:sz="4" w:space="0" w:color="000000"/>
              <w:right w:val="single" w:sz="4" w:space="0" w:color="000000"/>
            </w:tcBorders>
          </w:tcPr>
          <w:p>
            <w:pPr>
              <w:pStyle w:val="Normal"/>
              <w:spacing w:before="0" w:after="120"/>
              <w:rPr>
                <w:b/>
                <w:bCs/>
              </w:rPr>
            </w:pPr>
            <w:bookmarkStart w:id="6" w:name="_Toc423081801"/>
            <w:r>
              <w:rPr>
                <w:b/>
                <w:bCs/>
                <w:lang w:val="x-none"/>
              </w:rPr>
              <w:t>1.</w:t>
            </w:r>
            <w:r>
              <w:rPr>
                <w:b/>
                <w:bCs/>
              </w:rPr>
              <w:t>4</w:t>
            </w:r>
            <w:r>
              <w:rPr>
                <w:b/>
                <w:bCs/>
                <w:lang w:val="x-none"/>
              </w:rPr>
              <w:t>. Evidencijski broj nabave</w:t>
            </w:r>
            <w:bookmarkEnd w:id="6"/>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40" w:before="0" w:after="120"/>
              <w:jc w:val="both"/>
              <w:rPr/>
            </w:pPr>
            <w:r>
              <w:rPr/>
              <w:t>28/25-JN</w:t>
            </w:r>
          </w:p>
        </w:tc>
      </w:tr>
      <w:tr>
        <w:trPr/>
        <w:tc>
          <w:tcPr>
            <w:tcW w:w="4927" w:type="dxa"/>
            <w:tcBorders>
              <w:top w:val="single" w:sz="4" w:space="0" w:color="000000"/>
              <w:left w:val="single" w:sz="4" w:space="0" w:color="000000"/>
              <w:bottom w:val="single" w:sz="4" w:space="0" w:color="000000"/>
              <w:right w:val="single" w:sz="4" w:space="0" w:color="000000"/>
            </w:tcBorders>
          </w:tcPr>
          <w:p>
            <w:pPr>
              <w:pStyle w:val="Normal"/>
              <w:spacing w:before="0" w:after="120"/>
              <w:rPr>
                <w:b/>
                <w:bCs/>
              </w:rPr>
            </w:pPr>
            <w:bookmarkStart w:id="7" w:name="_Toc423081802"/>
            <w:r>
              <w:rPr>
                <w:b/>
                <w:bCs/>
                <w:lang w:val="x-none"/>
              </w:rPr>
              <w:t>1.</w:t>
            </w:r>
            <w:r>
              <w:rPr>
                <w:b/>
                <w:bCs/>
              </w:rPr>
              <w:t>5</w:t>
            </w:r>
            <w:r>
              <w:rPr>
                <w:b/>
                <w:bCs/>
                <w:lang w:val="x-none"/>
              </w:rPr>
              <w:t>. Popis gospodarskih subjekata s kojima je Naručitelj u sukobu interesa</w:t>
            </w:r>
            <w:bookmarkEnd w:id="7"/>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40" w:before="0" w:after="120"/>
              <w:jc w:val="both"/>
              <w:rPr/>
            </w:pPr>
            <w:r>
              <w:rPr/>
              <w:t>Dječja bolnica Srebrnjak, Srebrnjak 100, 10000 Zagreb</w:t>
            </w:r>
          </w:p>
        </w:tc>
      </w:tr>
      <w:tr>
        <w:trPr/>
        <w:tc>
          <w:tcPr>
            <w:tcW w:w="4927" w:type="dxa"/>
            <w:tcBorders>
              <w:top w:val="single" w:sz="4" w:space="0" w:color="000000"/>
              <w:left w:val="single" w:sz="4" w:space="0" w:color="000000"/>
              <w:bottom w:val="single" w:sz="4" w:space="0" w:color="000000"/>
              <w:right w:val="single" w:sz="4" w:space="0" w:color="000000"/>
            </w:tcBorders>
          </w:tcPr>
          <w:p>
            <w:pPr>
              <w:pStyle w:val="Normal"/>
              <w:spacing w:before="0" w:after="120"/>
              <w:rPr>
                <w:b/>
                <w:bCs/>
              </w:rPr>
            </w:pPr>
            <w:bookmarkStart w:id="8" w:name="_Toc423081804"/>
            <w:r>
              <w:rPr>
                <w:b/>
                <w:bCs/>
                <w:lang w:val="x-none"/>
              </w:rPr>
              <w:t>1.6. Procijenjena vrijednost nabave</w:t>
            </w:r>
            <w:bookmarkEnd w:id="8"/>
          </w:p>
        </w:tc>
        <w:tc>
          <w:tcPr>
            <w:tcW w:w="5245" w:type="dxa"/>
            <w:tcBorders>
              <w:top w:val="single" w:sz="4" w:space="0" w:color="000000"/>
              <w:left w:val="single" w:sz="4" w:space="0" w:color="000000"/>
              <w:bottom w:val="single" w:sz="4" w:space="0" w:color="000000"/>
              <w:right w:val="single" w:sz="4" w:space="0" w:color="000000"/>
            </w:tcBorders>
          </w:tcPr>
          <w:p>
            <w:pPr>
              <w:pStyle w:val="Normal"/>
              <w:spacing w:before="0" w:after="120"/>
              <w:rPr>
                <w:b/>
                <w:bCs/>
                <w:u w:val="single"/>
              </w:rPr>
            </w:pPr>
            <w:r>
              <w:rPr/>
              <w:t xml:space="preserve">26.500,00 eura bez PDV-a </w:t>
            </w:r>
            <w:r>
              <w:rPr>
                <w:b/>
                <w:bCs/>
                <w:u w:val="single"/>
              </w:rPr>
              <w:t>Naručitelj ima osigurano ukupno 25.300,00 € (bez PDV-a) za stavke troškovnika, a 1.200,00 € (bez PDV-a) je fiksni iznos koji ponuditelj ne nudi.</w:t>
            </w:r>
          </w:p>
        </w:tc>
      </w:tr>
      <w:tr>
        <w:trPr/>
        <w:tc>
          <w:tcPr>
            <w:tcW w:w="4927" w:type="dxa"/>
            <w:tcBorders>
              <w:top w:val="single" w:sz="4" w:space="0" w:color="000000"/>
              <w:left w:val="single" w:sz="4" w:space="0" w:color="000000"/>
              <w:bottom w:val="single" w:sz="4" w:space="0" w:color="000000"/>
              <w:right w:val="single" w:sz="4" w:space="0" w:color="000000"/>
            </w:tcBorders>
          </w:tcPr>
          <w:p>
            <w:pPr>
              <w:pStyle w:val="Normal"/>
              <w:spacing w:before="0" w:after="120"/>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pPr>
              <w:pStyle w:val="Normal"/>
              <w:widowControl/>
              <w:bidi w:val="0"/>
              <w:spacing w:lineRule="auto" w:line="240" w:before="0" w:after="120"/>
              <w:jc w:val="both"/>
              <w:rPr/>
            </w:pPr>
            <w:r>
              <w:rPr/>
              <w:t>Postupak jednostavne nabave sukladno čl. 9  Pravilnika o pravilima, uvjetima i postupcima jednostavne nabave</w:t>
            </w:r>
          </w:p>
        </w:tc>
      </w:tr>
      <w:tr>
        <w:trPr/>
        <w:tc>
          <w:tcPr>
            <w:tcW w:w="4927" w:type="dxa"/>
            <w:tcBorders>
              <w:top w:val="single" w:sz="4" w:space="0" w:color="000000"/>
              <w:left w:val="single" w:sz="4" w:space="0" w:color="000000"/>
              <w:bottom w:val="single" w:sz="4" w:space="0" w:color="000000"/>
              <w:right w:val="single" w:sz="4" w:space="0" w:color="000000"/>
            </w:tcBorders>
          </w:tcPr>
          <w:p>
            <w:pPr>
              <w:pStyle w:val="Normal"/>
              <w:rPr>
                <w:b/>
                <w:bCs/>
                <w:lang w:val="x-none"/>
              </w:rPr>
            </w:pPr>
            <w:bookmarkStart w:id="9" w:name="_Toc423081805"/>
            <w:r>
              <w:rPr>
                <w:b/>
                <w:bCs/>
                <w:lang w:val="x-none"/>
              </w:rPr>
              <w:t>1.8. Vrsta ugovora o javnoj nabavi</w:t>
            </w:r>
            <w:bookmarkEnd w:id="9"/>
          </w:p>
          <w:p>
            <w:pPr>
              <w:pStyle w:val="Normal"/>
              <w:widowControl/>
              <w:bidi w:val="0"/>
              <w:spacing w:lineRule="auto" w:line="240" w:before="0" w:after="120"/>
              <w:jc w:val="both"/>
              <w:rPr/>
            </w:pPr>
            <w:r>
              <w:rPr/>
              <w:t xml:space="preserve">       </w:t>
            </w:r>
            <w:r>
              <w:rPr/>
              <w:t>(roba,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40" w:before="0" w:after="120"/>
              <w:jc w:val="both"/>
              <w:rPr/>
            </w:pPr>
            <w:r>
              <w:rPr/>
              <w:t>Usluga</w:t>
            </w:r>
          </w:p>
        </w:tc>
      </w:tr>
      <w:tr>
        <w:trPr/>
        <w:tc>
          <w:tcPr>
            <w:tcW w:w="4927" w:type="dxa"/>
            <w:tcBorders>
              <w:top w:val="single" w:sz="4" w:space="0" w:color="000000"/>
              <w:left w:val="single" w:sz="4" w:space="0" w:color="000000"/>
              <w:bottom w:val="single" w:sz="4" w:space="0" w:color="000000"/>
              <w:right w:val="single" w:sz="4" w:space="0" w:color="000000"/>
            </w:tcBorders>
          </w:tcPr>
          <w:p>
            <w:pPr>
              <w:pStyle w:val="Normal"/>
              <w:spacing w:before="0" w:after="120"/>
              <w:rPr>
                <w:b/>
                <w:bCs/>
                <w:lang w:val="x-none"/>
              </w:rPr>
            </w:pPr>
            <w:bookmarkStart w:id="10" w:name="_Toc423081806"/>
            <w:r>
              <w:rPr>
                <w:b/>
                <w:bCs/>
                <w:lang w:val="x-none"/>
              </w:rPr>
              <w:t xml:space="preserve">1.9. </w:t>
            </w:r>
            <w:r>
              <w:rPr>
                <w:b/>
                <w:bCs/>
              </w:rPr>
              <w:t>Sklapa li se u</w:t>
            </w:r>
            <w:r>
              <w:rPr>
                <w:b/>
                <w:bCs/>
                <w:lang w:val="x-none"/>
              </w:rPr>
              <w:t>govor</w:t>
            </w:r>
            <w:bookmarkEnd w:id="10"/>
            <w:r>
              <w:rPr>
                <w:b/>
                <w:bCs/>
              </w:rPr>
              <w:t xml:space="preserve"> ili izdaje narudžbenica</w:t>
            </w:r>
          </w:p>
        </w:tc>
        <w:tc>
          <w:tcPr>
            <w:tcW w:w="5245" w:type="dxa"/>
            <w:tcBorders>
              <w:top w:val="single" w:sz="4" w:space="0" w:color="000000"/>
              <w:left w:val="single" w:sz="4" w:space="0" w:color="000000"/>
              <w:bottom w:val="single" w:sz="4" w:space="0" w:color="000000"/>
              <w:right w:val="single" w:sz="4" w:space="0" w:color="000000"/>
            </w:tcBorders>
            <w:vAlign w:val="center"/>
          </w:tcPr>
          <w:p>
            <w:pPr>
              <w:pStyle w:val="Normal"/>
              <w:widowControl/>
              <w:bidi w:val="0"/>
              <w:spacing w:lineRule="auto" w:line="240" w:before="0" w:after="120"/>
              <w:jc w:val="both"/>
              <w:rPr/>
            </w:pPr>
            <w:r>
              <w:rPr/>
              <w:t>Sklapa se ugovor</w:t>
            </w:r>
          </w:p>
        </w:tc>
      </w:tr>
    </w:tbl>
    <w:p>
      <w:pPr>
        <w:pStyle w:val="BodyText1"/>
        <w:rPr>
          <w:rFonts w:ascii="Calibri" w:hAnsi="Calibri" w:cs="Calibri" w:asciiTheme="minorHAnsi" w:cstheme="minorHAnsi" w:hAnsiTheme="minorHAnsi"/>
          <w:szCs w:val="22"/>
        </w:rPr>
      </w:pPr>
      <w:r>
        <w:rPr>
          <w:rFonts w:cs="Calibri" w:cstheme="minorHAnsi"/>
          <w:szCs w:val="22"/>
        </w:rPr>
      </w:r>
    </w:p>
    <w:p>
      <w:pPr>
        <w:pStyle w:val="BodyText1"/>
        <w:rPr>
          <w:rFonts w:ascii="Calibri" w:hAnsi="Calibri" w:cs="Calibri" w:asciiTheme="minorHAnsi" w:cstheme="minorHAnsi" w:hAnsiTheme="minorHAnsi"/>
          <w:szCs w:val="22"/>
        </w:rPr>
      </w:pPr>
      <w:r>
        <w:rPr>
          <w:rFonts w:cs="Calibri" w:cstheme="minorHAnsi"/>
          <w:szCs w:val="22"/>
        </w:rPr>
        <w:t xml:space="preserve">Komunikacija i svaka druga razmjena informacija između Naručitelja i gospodarskog subjekta može se obavljati isključivo na </w:t>
      </w:r>
      <w:r>
        <w:rPr>
          <w:rFonts w:cs="Calibri" w:cstheme="minorHAnsi"/>
          <w:b/>
          <w:bCs/>
          <w:szCs w:val="22"/>
        </w:rPr>
        <w:t>hrvatskom jeziku</w:t>
      </w:r>
      <w:r>
        <w:rPr>
          <w:rFonts w:cs="Calibri" w:cstheme="minorHAnsi"/>
          <w:szCs w:val="22"/>
        </w:rPr>
        <w:t xml:space="preserve"> i </w:t>
      </w:r>
      <w:r>
        <w:rPr>
          <w:rFonts w:cs="Calibri" w:cstheme="minorHAnsi"/>
          <w:b/>
          <w:bCs/>
          <w:szCs w:val="22"/>
        </w:rPr>
        <w:t>latiničnom pismu</w:t>
      </w:r>
      <w:r>
        <w:rPr>
          <w:rFonts w:cs="Calibri" w:cstheme="minorHAnsi"/>
          <w:szCs w:val="22"/>
        </w:rPr>
        <w:t xml:space="preserve"> elektroničkim sredstvima komunikacije (e-mail).</w:t>
      </w:r>
    </w:p>
    <w:p>
      <w:pPr>
        <w:pStyle w:val="BodyText1"/>
        <w:rPr>
          <w:rFonts w:cs="Calibri" w:cstheme="minorHAnsi"/>
        </w:rPr>
      </w:pPr>
      <w:r>
        <w:rPr>
          <w:rFonts w:cs="Calibri" w:cstheme="minorHAnsi"/>
        </w:rPr>
        <w:t>Gospodarski subjekt može zahtijevati dodatne informacije, objašnjenja ili izmjene u vezi s Pozivom na dostavu ponuda u roku za dostavu ponuda, a najkasnije tijekom drugog (2) dana prije roka određenog za dostavu ponuda.</w:t>
      </w:r>
    </w:p>
    <w:p>
      <w:pPr>
        <w:pStyle w:val="BodyText1"/>
        <w:rPr>
          <w:rFonts w:cs="Calibri" w:cstheme="minorHAnsi"/>
        </w:rPr>
      </w:pPr>
      <w:r>
        <w:rPr>
          <w:rFonts w:cs="Calibri" w:cstheme="minorHAnsi"/>
        </w:rPr>
        <w:t xml:space="preserve">Zainteresiran gospodarski subjekt zahtjeve za dodatne informacije, objašnjenja ili izmjene u vezi s Pozivom na dostavu ponuda Naručitelju dostavlja putem e- mail pošte. </w:t>
      </w:r>
    </w:p>
    <w:p>
      <w:pPr>
        <w:pStyle w:val="BodyText1"/>
        <w:rPr>
          <w:rFonts w:cs="Calibri" w:cstheme="minorHAnsi"/>
        </w:rPr>
      </w:pPr>
      <w:r>
        <w:rPr>
          <w:rFonts w:cs="Calibri" w:cstheme="minorHAnsi"/>
        </w:rPr>
        <w:t>U slučaju bitne izmjene Poziva na dostavu ponuda, Naručitelj će razmjerno produljiti rok za dostavu ponuda.</w:t>
      </w:r>
    </w:p>
    <w:p>
      <w:pPr>
        <w:pStyle w:val="Heading1"/>
        <w:numPr>
          <w:ilvl w:val="0"/>
          <w:numId w:val="1"/>
        </w:numPr>
        <w:ind w:hanging="360" w:left="360"/>
        <w:rPr/>
      </w:pPr>
      <w:bookmarkStart w:id="11" w:name="_Toc506910663"/>
      <w:bookmarkStart w:id="12" w:name="_Toc94776973"/>
      <w:bookmarkStart w:id="13" w:name="_Toc112177948"/>
      <w:r>
        <w:rPr/>
        <w:t>PODACI O PREDMETU NABAVE</w:t>
      </w:r>
      <w:bookmarkEnd w:id="11"/>
      <w:bookmarkEnd w:id="12"/>
      <w:bookmarkEnd w:id="13"/>
    </w:p>
    <w:p>
      <w:pPr>
        <w:pStyle w:val="Heading3"/>
        <w:numPr>
          <w:ilvl w:val="1"/>
          <w:numId w:val="1"/>
        </w:numPr>
        <w:ind w:hanging="0" w:left="0"/>
        <w:rPr/>
      </w:pPr>
      <w:bookmarkStart w:id="14" w:name="_Toc506910664"/>
      <w:bookmarkStart w:id="15" w:name="_Toc94776974"/>
      <w:r>
        <w:rPr/>
        <w:t>OPIS PREDMETA NABAVE</w:t>
      </w:r>
      <w:bookmarkStart w:id="16" w:name="_Toc506910665"/>
      <w:bookmarkStart w:id="17" w:name="_Toc94776975"/>
      <w:bookmarkEnd w:id="14"/>
      <w:bookmarkEnd w:id="15"/>
    </w:p>
    <w:p>
      <w:pPr>
        <w:pStyle w:val="Normal"/>
        <w:rPr/>
      </w:pPr>
      <w:r>
        <w:rPr/>
      </w:r>
    </w:p>
    <w:p>
      <w:pPr>
        <w:pStyle w:val="Normal"/>
        <w:spacing w:lineRule="auto" w:line="276" w:before="0" w:after="0"/>
        <w:rPr>
          <w:rFonts w:ascii="Calibri" w:hAnsi="Calibri" w:eastAsia="Times New Roman" w:cs="Calibri"/>
        </w:rPr>
      </w:pPr>
      <w:r>
        <w:rPr>
          <w:rFonts w:eastAsia="Times New Roman" w:cs="Calibri"/>
        </w:rPr>
        <w:t xml:space="preserve">Predmet nabave je </w:t>
      </w:r>
      <w:r>
        <w:rPr>
          <w:rFonts w:eastAsia="Times New Roman" w:cs="Calibri"/>
          <w:b/>
          <w:bCs/>
        </w:rPr>
        <w:t>servis i održavanje autoklava i sterilizatora</w:t>
      </w:r>
      <w:r>
        <w:rPr>
          <w:rFonts w:eastAsia="Times New Roman" w:cs="Calibri"/>
        </w:rPr>
        <w:t xml:space="preserve"> sukladno specificiranim Troškovnikom i Tehničkom specifikacijom koji čine  sastavni dio ovog Poziva.</w:t>
      </w:r>
    </w:p>
    <w:p>
      <w:pPr>
        <w:pStyle w:val="Normal"/>
        <w:spacing w:lineRule="auto" w:line="276" w:before="0" w:after="0"/>
        <w:rPr>
          <w:rFonts w:ascii="Calibri" w:hAnsi="Calibri" w:eastAsia="Times New Roman" w:cs="Calibri"/>
        </w:rPr>
      </w:pPr>
      <w:r>
        <w:rPr>
          <w:rFonts w:eastAsia="Times New Roman" w:cs="Calibri"/>
        </w:rPr>
      </w:r>
    </w:p>
    <w:p>
      <w:pPr>
        <w:pStyle w:val="Normal"/>
        <w:tabs>
          <w:tab w:val="clear" w:pos="708"/>
          <w:tab w:val="left" w:pos="284" w:leader="none"/>
        </w:tabs>
        <w:spacing w:before="0" w:after="0"/>
        <w:rPr>
          <w:rFonts w:ascii="Calibri" w:hAnsi="Calibri" w:eastAsia="Times New Roman" w:cs="Calibri"/>
          <w:lang w:eastAsia="en-US"/>
        </w:rPr>
      </w:pPr>
      <w:r>
        <w:rPr>
          <w:rFonts w:eastAsia="Times New Roman" w:cs="Calibri"/>
          <w:lang w:eastAsia="en-US"/>
        </w:rPr>
        <w:t>Predmet nabave podrazumijeva i obuhvaća usluge servisa i održavanje autoklava i sterilizatora prema potrebi, te nabavu, isporuku i ugradnju potrebnih rezervnih dijelova, sukladno ovom Pozivu na dostavu ponuda.</w:t>
      </w:r>
    </w:p>
    <w:p>
      <w:pPr>
        <w:pStyle w:val="Normal"/>
        <w:tabs>
          <w:tab w:val="clear" w:pos="708"/>
          <w:tab w:val="left" w:pos="284" w:leader="none"/>
        </w:tabs>
        <w:spacing w:before="0" w:after="0"/>
        <w:rPr>
          <w:rFonts w:ascii="Calibri" w:hAnsi="Calibri" w:eastAsia="Times New Roman" w:cs="Calibri"/>
          <w:lang w:eastAsia="en-US"/>
        </w:rPr>
      </w:pPr>
      <w:r>
        <w:rPr>
          <w:rFonts w:eastAsia="Times New Roman" w:cs="Calibri"/>
          <w:lang w:eastAsia="en-US"/>
        </w:rPr>
      </w:r>
    </w:p>
    <w:p>
      <w:pPr>
        <w:pStyle w:val="Normal"/>
        <w:tabs>
          <w:tab w:val="clear" w:pos="708"/>
          <w:tab w:val="left" w:pos="284" w:leader="none"/>
        </w:tabs>
        <w:spacing w:before="0" w:after="0"/>
        <w:rPr>
          <w:rFonts w:ascii="Calibri" w:hAnsi="Calibri" w:eastAsia="Times New Roman" w:cs="Calibri"/>
          <w:lang w:eastAsia="en-US"/>
        </w:rPr>
      </w:pPr>
      <w:r>
        <w:rPr>
          <w:rFonts w:eastAsia="Times New Roman" w:cs="Calibri"/>
          <w:lang w:eastAsia="en-US"/>
        </w:rPr>
        <w:t xml:space="preserve">Popravcima se smatra popravak svih kvarova nastalih u jednoj godini (odnosno do ispunjenja procijenjene vrijednosti predmeta nabave), rezervne dijelove, satnice i sve ostalo bitno da oprema nesmetano funkcionira. </w:t>
      </w:r>
    </w:p>
    <w:p>
      <w:pPr>
        <w:pStyle w:val="Normal"/>
        <w:tabs>
          <w:tab w:val="clear" w:pos="708"/>
          <w:tab w:val="left" w:pos="284" w:leader="none"/>
        </w:tabs>
        <w:spacing w:before="0" w:after="0"/>
        <w:rPr>
          <w:rFonts w:ascii="Calibri" w:hAnsi="Calibri" w:eastAsia="Times New Roman" w:cs="Calibri"/>
          <w:lang w:eastAsia="en-US"/>
        </w:rPr>
      </w:pPr>
      <w:r>
        <w:rPr>
          <w:rFonts w:eastAsia="Times New Roman" w:cs="Calibri"/>
          <w:lang w:eastAsia="en-US"/>
        </w:rPr>
      </w:r>
    </w:p>
    <w:p>
      <w:pPr>
        <w:pStyle w:val="Normal"/>
        <w:rPr>
          <w:rFonts w:eastAsia="Times New Roman" w:cs="Calibri" w:cstheme="minorHAnsi"/>
          <w:b/>
          <w:bCs/>
          <w:lang w:eastAsia="en-US"/>
        </w:rPr>
      </w:pPr>
      <w:r>
        <w:rPr>
          <w:rFonts w:eastAsia="Times New Roman" w:cs="Calibri" w:cstheme="minorHAnsi"/>
          <w:lang w:eastAsia="en-US"/>
        </w:rPr>
        <w:t xml:space="preserve">Obzirom na prirodu i nepredvidivost svih potrebnih usluga, rezervnih dijelova i drugog potrošnog materijal čije količine Naručitelj uopće ne može procijeniti, određuje </w:t>
      </w:r>
      <w:r>
        <w:rPr>
          <w:rFonts w:eastAsia="Times New Roman" w:cs="Calibri" w:cstheme="minorHAnsi"/>
          <w:b/>
          <w:bCs/>
          <w:lang w:eastAsia="en-US"/>
        </w:rPr>
        <w:t>objedinjeni iznos.</w:t>
      </w:r>
    </w:p>
    <w:p>
      <w:pPr>
        <w:pStyle w:val="Normal"/>
        <w:rPr>
          <w:rFonts w:eastAsia="Times New Roman" w:cs="Calibri" w:cstheme="minorHAnsi"/>
          <w:lang w:eastAsia="en-US"/>
        </w:rPr>
      </w:pPr>
      <w:r>
        <w:rPr>
          <w:rFonts w:eastAsia="Times New Roman" w:cs="Calibri" w:cstheme="minorHAnsi"/>
          <w:lang w:eastAsia="en-US"/>
        </w:rPr>
        <w:t>Sukladno  čl. 4. st. 5) Pravilnika o dokumentaciji o nabavi te ponudi u postupcima javne nabave objedinjeni iznos odnosi se na moguća ukupna plaćanja bez poreza na dodanu vrijednost tijekom izvršenja ugovora koja ne smiju prelaziti 20% procijenjene vrijednosti nabave bez PDV-a, a u ovom predmetu nabave objedinjeni iznos iznosi 4,53 % procijenjene vrijednosti.</w:t>
      </w:r>
    </w:p>
    <w:p>
      <w:pPr>
        <w:pStyle w:val="Normal"/>
        <w:rPr>
          <w:rFonts w:eastAsia="Times New Roman" w:cs="Calibri" w:cstheme="minorHAnsi"/>
          <w:lang w:eastAsia="en-US"/>
        </w:rPr>
      </w:pPr>
      <w:r>
        <w:rPr>
          <w:rFonts w:eastAsia="Times New Roman" w:cs="Calibri" w:cstheme="minorHAnsi"/>
          <w:lang w:eastAsia="en-US"/>
        </w:rPr>
        <w:t xml:space="preserve">Za usluge, rezervne dijelove i drugi potrošni materijal koji nisu navedene u Troškovniku, a koji se realiziraju iz Objedinjenog iznosa, Ponuditelj se obvezuje prije izdavanja narudžbenice poslati ponudu za navedene stavke. Naručitelj će sklopiti Ugovor za stavke koje su navedene u Troškovniku, a za one stavke  koje nisu navedene u Troškovniku će izdati narudžbenicu. </w:t>
      </w:r>
    </w:p>
    <w:p>
      <w:pPr>
        <w:pStyle w:val="Normal"/>
        <w:tabs>
          <w:tab w:val="clear" w:pos="708"/>
          <w:tab w:val="left" w:pos="284" w:leader="none"/>
        </w:tabs>
        <w:spacing w:before="0" w:after="0"/>
        <w:rPr>
          <w:rFonts w:ascii="Calibri" w:hAnsi="Calibri" w:eastAsia="Times New Roman" w:cs="Calibri"/>
          <w:lang w:eastAsia="en-US"/>
        </w:rPr>
      </w:pPr>
      <w:r>
        <w:rPr>
          <w:rFonts w:eastAsia="Times New Roman" w:cs="Calibri"/>
          <w:lang w:eastAsia="en-US"/>
        </w:rPr>
      </w:r>
    </w:p>
    <w:p>
      <w:pPr>
        <w:pStyle w:val="Normal"/>
        <w:tabs>
          <w:tab w:val="clear" w:pos="708"/>
          <w:tab w:val="left" w:pos="284" w:leader="none"/>
        </w:tabs>
        <w:spacing w:before="0" w:after="0"/>
        <w:rPr>
          <w:rFonts w:ascii="Calibri" w:hAnsi="Calibri" w:eastAsia="Times New Roman" w:cs="Calibri"/>
          <w:lang w:eastAsia="en-US"/>
        </w:rPr>
      </w:pPr>
      <w:bookmarkStart w:id="18" w:name="_Hlk212637214"/>
      <w:r>
        <w:rPr>
          <w:rFonts w:eastAsia="Times New Roman" w:cs="Calibri"/>
          <w:lang w:eastAsia="en-US"/>
        </w:rPr>
        <w:t>Odabrani ponuditelj je obvezan, na poziv Naručitelja, izvršiti uslugu popravka autoklava i sterilizatora u roku od 48 sati, u vremenu od 07.00 do 20.00 sati. U slučaju nemogućnosti izvršenja usluga u navedenom roku, dužan je bez odgađanja o tome izvijestiti Naručitelja pisanim putem uz obrazloženje, te dostaviti zamjenski autoklav i sterilizator.</w:t>
      </w:r>
      <w:bookmarkEnd w:id="18"/>
    </w:p>
    <w:p>
      <w:pPr>
        <w:pStyle w:val="Normal"/>
        <w:tabs>
          <w:tab w:val="clear" w:pos="708"/>
          <w:tab w:val="left" w:pos="284" w:leader="none"/>
        </w:tabs>
        <w:spacing w:before="0" w:after="0"/>
        <w:rPr>
          <w:rFonts w:ascii="Calibri" w:hAnsi="Calibri" w:eastAsia="Times New Roman" w:cs="Calibri"/>
          <w:lang w:eastAsia="en-US"/>
        </w:rPr>
      </w:pPr>
      <w:r>
        <w:rPr>
          <w:rFonts w:eastAsia="Times New Roman" w:cs="Calibri"/>
          <w:lang w:eastAsia="en-US"/>
        </w:rPr>
        <w:t>Ponuditelj je obvezan u sklopu ponude priložiti važeći certifikat ISO 13485 primijenjen na prodaju i servis medicinskih uređaja ili jednakovrijedno.</w:t>
      </w:r>
    </w:p>
    <w:p>
      <w:pPr>
        <w:pStyle w:val="Normal"/>
        <w:tabs>
          <w:tab w:val="clear" w:pos="708"/>
          <w:tab w:val="left" w:pos="284" w:leader="none"/>
        </w:tabs>
        <w:spacing w:before="0" w:after="0"/>
        <w:rPr>
          <w:rFonts w:ascii="Calibri" w:hAnsi="Calibri" w:eastAsia="Times New Roman" w:cs="Calibri"/>
          <w:highlight w:val="yellow"/>
          <w:lang w:eastAsia="en-US"/>
        </w:rPr>
      </w:pPr>
      <w:r>
        <w:rPr>
          <w:rFonts w:eastAsia="Times New Roman" w:cs="Calibri"/>
          <w:highlight w:val="yellow"/>
          <w:lang w:eastAsia="en-US"/>
        </w:rPr>
      </w:r>
    </w:p>
    <w:p>
      <w:pPr>
        <w:pStyle w:val="Normal"/>
        <w:tabs>
          <w:tab w:val="clear" w:pos="708"/>
          <w:tab w:val="left" w:pos="284" w:leader="none"/>
        </w:tabs>
        <w:spacing w:before="0" w:after="0"/>
        <w:rPr>
          <w:rFonts w:ascii="Calibri" w:hAnsi="Calibri" w:eastAsia="Times New Roman" w:cs="Calibri"/>
          <w:lang w:eastAsia="en-US"/>
        </w:rPr>
      </w:pPr>
      <w:r>
        <w:rPr>
          <w:rFonts w:eastAsia="Times New Roman" w:cs="Calibri"/>
          <w:lang w:eastAsia="en-US"/>
        </w:rPr>
        <w:t>Odabrani ponuditelj obvezan je nakon izvršenja predmetne usluge dostaviti radni nalog i zapisnike o izvršenoj usluzi ovjerene žigom i potpisom od strane izvršitelja i od strane svakog tima/liječnika sa pojedine lokacije na kojoj se usluga izvršava. Izvršitelj je obvezan dostaviti i podatke o svakom održavanom/servisiranom autoklavu i sterilizatoru.</w:t>
      </w:r>
    </w:p>
    <w:p>
      <w:pPr>
        <w:pStyle w:val="Normal"/>
        <w:spacing w:before="35" w:after="120"/>
        <w:rPr>
          <w:rFonts w:cs="Calibri" w:cstheme="minorHAnsi"/>
        </w:rPr>
      </w:pPr>
      <w:r>
        <w:rPr>
          <w:rFonts w:cs="Calibri" w:cstheme="minorHAnsi"/>
        </w:rPr>
        <w:t>Smatrat će se da je gospodarski subjekt prije podnošenja ponude u svemu proučio ovaj Poziv na dostavu ponuda i njezine priloge, da je došao do svih potrebnih podataka koji utječu na izvršenje navedenog predmeta nabave, te da je na osnovu svega toga podnio svoju ponudu.</w:t>
      </w:r>
    </w:p>
    <w:p>
      <w:pPr>
        <w:pStyle w:val="Normal"/>
        <w:spacing w:before="35" w:after="120"/>
        <w:rPr>
          <w:rFonts w:cs="Calibri" w:cstheme="minorHAnsi"/>
        </w:rPr>
      </w:pPr>
      <w:r>
        <w:rPr>
          <w:rFonts w:cs="Calibri" w:cstheme="minorHAnsi"/>
        </w:rPr>
        <w:t>Odabrani ponuditelj je dužan predmet nabave izvršavati i izvoditi uredno, savjesno i odgovorno, pažnjom dobrog stručnjaka, po najvišim profesionalnim standardima, nalozima i uputama Naručitelja, te uvjetima i zahtjevima iz ovog Poziva na dostavu ponuda.</w:t>
      </w:r>
    </w:p>
    <w:p>
      <w:pPr>
        <w:pStyle w:val="Normal"/>
        <w:rPr>
          <w:rFonts w:cs="Calibri" w:cstheme="minorHAnsi"/>
          <w:b/>
        </w:rPr>
      </w:pPr>
      <w:r>
        <w:rPr>
          <w:rFonts w:cs="Calibri" w:cstheme="minorHAnsi"/>
          <w:b/>
        </w:rPr>
        <w:t xml:space="preserve">CPV oznaka predmeta nabave: </w:t>
      </w:r>
    </w:p>
    <w:p>
      <w:pPr>
        <w:pStyle w:val="Normal"/>
        <w:spacing w:before="35" w:after="120"/>
        <w:rPr>
          <w:rFonts w:cs="Calibri" w:cstheme="minorHAnsi"/>
        </w:rPr>
      </w:pPr>
      <w:r>
        <w:rPr>
          <w:rFonts w:cs="Calibri" w:cstheme="minorHAnsi"/>
        </w:rPr>
        <w:t>50421000-2 Usluga popravaka i održavanja medicinske opreme</w:t>
      </w:r>
    </w:p>
    <w:p>
      <w:pPr>
        <w:pStyle w:val="Heading3"/>
        <w:numPr>
          <w:ilvl w:val="1"/>
          <w:numId w:val="1"/>
        </w:numPr>
        <w:ind w:hanging="0" w:left="0"/>
        <w:rPr/>
      </w:pPr>
      <w:r>
        <w:rPr/>
        <w:t>OPIS I OZNAKA GRUPA PREDMETA NABAVE</w:t>
      </w:r>
      <w:bookmarkEnd w:id="17"/>
    </w:p>
    <w:p>
      <w:pPr>
        <w:pStyle w:val="BodyText1"/>
        <w:spacing w:before="0" w:after="0"/>
        <w:rPr>
          <w:rFonts w:ascii="Calibri" w:hAnsi="Calibri" w:cs="Calibri" w:asciiTheme="minorHAnsi" w:cstheme="minorHAnsi" w:hAnsiTheme="minorHAnsi"/>
          <w:szCs w:val="22"/>
        </w:rPr>
      </w:pPr>
      <w:r>
        <w:rPr>
          <w:rFonts w:cs="Calibri" w:cstheme="minorHAnsi"/>
          <w:szCs w:val="22"/>
        </w:rPr>
        <w:t xml:space="preserve">Predmet nabave nije podijeljen na grupe. </w:t>
      </w:r>
    </w:p>
    <w:p>
      <w:pPr>
        <w:pStyle w:val="Heading3"/>
        <w:numPr>
          <w:ilvl w:val="1"/>
          <w:numId w:val="1"/>
        </w:numPr>
        <w:ind w:hanging="0" w:left="0"/>
        <w:rPr/>
      </w:pPr>
      <w:bookmarkStart w:id="19" w:name="_Toc94776976"/>
      <w:r>
        <w:rPr/>
        <w:t>KOLIČINA PREDMETA NABAVE</w:t>
      </w:r>
      <w:bookmarkEnd w:id="16"/>
      <w:bookmarkEnd w:id="19"/>
    </w:p>
    <w:p>
      <w:pPr>
        <w:pStyle w:val="Normal"/>
        <w:rPr>
          <w:rFonts w:eastAsia="Times New Roman" w:cs="Calibri" w:cstheme="minorHAnsi"/>
          <w:lang w:eastAsia="en-US"/>
        </w:rPr>
      </w:pPr>
      <w:bookmarkStart w:id="20" w:name="_Toc506910666"/>
      <w:r>
        <w:rPr>
          <w:rFonts w:eastAsia="Times New Roman" w:cs="Calibri" w:cstheme="minorHAnsi"/>
          <w:lang w:eastAsia="en-US"/>
        </w:rPr>
        <w:t>Količina predmeta nabave razvidna je iz priloženog Troškovnika. Naručitelj je u predmetnom postupku nabave odredio predviđenu (okvirnu) količinu predmeta nabave.</w:t>
      </w:r>
    </w:p>
    <w:p>
      <w:pPr>
        <w:pStyle w:val="Normal"/>
        <w:rPr>
          <w:rFonts w:eastAsia="Times New Roman" w:cs="Calibri" w:cstheme="minorHAnsi"/>
          <w:lang w:eastAsia="en-US"/>
        </w:rPr>
      </w:pPr>
      <w:r>
        <w:rPr>
          <w:rFonts w:eastAsia="Times New Roman" w:cs="Calibri" w:cstheme="minorHAnsi"/>
          <w:lang w:eastAsia="en-US"/>
        </w:rPr>
        <w:t>Stvarno nabavljena količina predmeta nabave može biti veća ili manja od predviđene količine.</w:t>
      </w:r>
    </w:p>
    <w:p>
      <w:pPr>
        <w:pStyle w:val="Normal"/>
        <w:rPr>
          <w:rFonts w:eastAsia="Times New Roman" w:cs="Calibri" w:cstheme="minorHAnsi"/>
          <w:lang w:eastAsia="en-US"/>
        </w:rPr>
      </w:pPr>
      <w:r>
        <w:rPr>
          <w:rFonts w:eastAsia="Times New Roman" w:cs="Calibri" w:cstheme="minorHAnsi"/>
          <w:lang w:eastAsia="en-US"/>
        </w:rPr>
        <w:t xml:space="preserve">Obzirom na prirodu i nepredvidivost svih potrebnih usluga, rezervnih dijelova i drugog potrošnog materijal čije količine Naručitelj uopće ne može procijeniti, određuje </w:t>
      </w:r>
      <w:r>
        <w:rPr>
          <w:rFonts w:eastAsia="Times New Roman" w:cs="Calibri" w:cstheme="minorHAnsi"/>
          <w:b/>
          <w:bCs/>
          <w:lang w:eastAsia="en-US"/>
        </w:rPr>
        <w:t>objedinjeni iznos.</w:t>
      </w:r>
    </w:p>
    <w:p>
      <w:pPr>
        <w:pStyle w:val="Normal"/>
        <w:rPr>
          <w:rFonts w:eastAsia="Times New Roman" w:cs="Calibri" w:cstheme="minorHAnsi"/>
          <w:b/>
          <w:bCs/>
          <w:lang w:eastAsia="en-US"/>
        </w:rPr>
      </w:pPr>
      <w:r>
        <w:rPr>
          <w:rFonts w:eastAsia="Times New Roman" w:cs="Calibri" w:cstheme="minorHAnsi"/>
          <w:lang w:eastAsia="en-US"/>
        </w:rPr>
        <w:t xml:space="preserve">Naručitelj, sukladno čl. 4. st. 5) Pravilnika o dokumentaciji o nabavi te ponudi u postupcima javne nabave, za ovaj predmet nabave određuje </w:t>
      </w:r>
      <w:r>
        <w:rPr>
          <w:rFonts w:eastAsia="Times New Roman" w:cs="Calibri" w:cstheme="minorHAnsi"/>
          <w:b/>
          <w:bCs/>
          <w:lang w:eastAsia="en-US"/>
        </w:rPr>
        <w:t>objedinjeni iznos na moguća plaćanje bez PDV-a od 4,53% iznosa procijenjene vrijednosti nabave, odnosno od 1.200,00 EUR bez PDV-a.</w:t>
      </w:r>
    </w:p>
    <w:p>
      <w:pPr>
        <w:pStyle w:val="Normal"/>
        <w:rPr>
          <w:rFonts w:eastAsia="Times New Roman" w:cs="Calibri" w:cstheme="minorHAnsi"/>
          <w:lang w:eastAsia="en-US"/>
        </w:rPr>
      </w:pPr>
      <w:r>
        <w:rPr>
          <w:rFonts w:eastAsia="Times New Roman" w:cs="Calibri" w:cstheme="minorHAnsi"/>
          <w:lang w:eastAsia="en-US"/>
        </w:rPr>
        <w:t>Objedinjeni iznos odnosi se na moguća ukupna plaćanja bez poreza na dodanu vrijednost tijekom izvršenja ugovora koja ne smiju prelaziti 4,53% procijenjene vrijednosti nabave bez PDV-a.</w:t>
      </w:r>
    </w:p>
    <w:p>
      <w:pPr>
        <w:pStyle w:val="Normal"/>
        <w:rPr>
          <w:rFonts w:eastAsia="Times New Roman" w:cs="Calibri" w:cstheme="minorHAnsi"/>
          <w:lang w:eastAsia="en-US"/>
        </w:rPr>
      </w:pPr>
      <w:r>
        <w:rPr>
          <w:rFonts w:eastAsia="Times New Roman" w:cs="Calibri" w:cstheme="minorHAnsi"/>
          <w:lang w:eastAsia="en-US"/>
        </w:rPr>
        <w:t xml:space="preserve">Za usluge, rezervne dijelove i drugi potrošni materijal koji nisu navedene u Troškovniku, a koji se realiziraju iz Objedinjenog iznosa, Ponuditelj se obvezuje prije izdavanja narudžbenice poslati ponudu za navedene stavke. Naručitelj će sklopiti Ugovor za stavke koje su navedene u Troškovniku, a za one stavke  koje nisu navedene u Troškovniku će izdati narudžbenicu. </w:t>
      </w:r>
    </w:p>
    <w:p>
      <w:pPr>
        <w:pStyle w:val="Normal"/>
        <w:rPr>
          <w:rFonts w:eastAsia="Times New Roman" w:cs="Calibri" w:cstheme="minorHAnsi"/>
          <w:lang w:eastAsia="en-US"/>
        </w:rPr>
      </w:pPr>
      <w:r>
        <w:rPr>
          <w:rFonts w:eastAsia="Times New Roman" w:cs="Calibri" w:cstheme="minorHAnsi"/>
          <w:lang w:eastAsia="en-US"/>
        </w:rPr>
      </w:r>
    </w:p>
    <w:p>
      <w:pPr>
        <w:pStyle w:val="Heading3"/>
        <w:numPr>
          <w:ilvl w:val="1"/>
          <w:numId w:val="1"/>
        </w:numPr>
        <w:ind w:hanging="0" w:left="0"/>
        <w:rPr/>
      </w:pPr>
      <w:bookmarkStart w:id="21" w:name="_Toc94776977"/>
      <w:r>
        <w:rPr/>
        <w:t>TEHNIČKE SPECIFIKACIJE</w:t>
      </w:r>
      <w:bookmarkEnd w:id="21"/>
      <w:r>
        <w:rPr/>
        <w:t xml:space="preserve"> </w:t>
      </w:r>
      <w:bookmarkEnd w:id="20"/>
    </w:p>
    <w:p>
      <w:pPr>
        <w:pStyle w:val="Normal"/>
        <w:rPr>
          <w:rFonts w:cs="Calibri" w:cstheme="minorHAnsi"/>
          <w:bCs/>
        </w:rPr>
      </w:pPr>
      <w:r>
        <w:rPr>
          <w:rFonts w:cs="Calibri" w:cstheme="minorHAnsi"/>
          <w:bCs/>
        </w:rPr>
        <w:t>Tehničkim specifikacijama utvrđuju se tražene minimalne karakteristike robe koja se nabavlja.</w:t>
      </w:r>
    </w:p>
    <w:p>
      <w:pPr>
        <w:pStyle w:val="Normal"/>
        <w:rPr>
          <w:rFonts w:cs="Calibri" w:cstheme="minorHAnsi"/>
          <w:bCs/>
        </w:rPr>
      </w:pPr>
      <w:r>
        <w:rPr>
          <w:rFonts w:cs="Calibri" w:cstheme="minorHAnsi"/>
          <w:bCs/>
        </w:rPr>
        <w:t>Opis izvršenja usluge nalazi se u zasebnom dokumentu – Troškovnik.</w:t>
      </w:r>
    </w:p>
    <w:p>
      <w:pPr>
        <w:pStyle w:val="Heading3"/>
        <w:numPr>
          <w:ilvl w:val="1"/>
          <w:numId w:val="1"/>
        </w:numPr>
        <w:ind w:hanging="0" w:left="0"/>
        <w:rPr/>
      </w:pPr>
      <w:r>
        <w:rPr/>
        <w:t>KRITERIJ ZA OCJENU JEDNAKOVRIJEDNOSTI PREDMETA NABAVE</w:t>
      </w:r>
    </w:p>
    <w:p>
      <w:pPr>
        <w:pStyle w:val="Normal"/>
        <w:rPr/>
      </w:pPr>
      <w:r>
        <w:rPr/>
        <w:t>Ukoliko u troškovniku ili tehničkim specifikacijama postoji dodatak "</w:t>
      </w:r>
      <w:r>
        <w:rPr>
          <w:i/>
        </w:rPr>
        <w:t>ili jednakovrijedan</w:t>
      </w:r>
      <w:r>
        <w:rPr/>
        <w:t>" i ako gospodarski subjekt nudi jednakovrijedan proizvod</w:t>
      </w:r>
      <w:r>
        <w:rPr>
          <w:bCs/>
        </w:rPr>
        <w:t xml:space="preserve"> </w:t>
      </w:r>
      <w:r>
        <w:rPr/>
        <w:t xml:space="preserve">mora na za to predviđenim mjestima troškovnika ili tehničke specifikacije, prema odgovarajućim stavkama, navesti </w:t>
      </w:r>
      <w:r>
        <w:rPr>
          <w:i/>
        </w:rPr>
        <w:t>podatke o proizvođaču</w:t>
      </w:r>
      <w:r>
        <w:rPr/>
        <w:t xml:space="preserve"> i </w:t>
      </w:r>
      <w:r>
        <w:rPr>
          <w:i/>
        </w:rPr>
        <w:t>tipu odgovarajućeg proizvoda</w:t>
      </w:r>
      <w:r>
        <w:rPr/>
        <w:t xml:space="preserve"> koji nudi te ako se to traži, i ostale podatke koji se odnose na taj proizvod.    </w:t>
      </w:r>
    </w:p>
    <w:p>
      <w:pPr>
        <w:pStyle w:val="Normal"/>
        <w:rPr/>
      </w:pPr>
      <w:r>
        <w:rPr/>
        <w:t>Ovisno o proizvodu, kao dokaz jednakovrijednosti, gospodarski subjekt mora dostaviti dokazno sredstvo o sukladnosti ponuđenog proizvoda sa zahtjevima ili kriterijima utvrđenima u troškovniku ili tehničkim specifikacijama (izvješće o testiranju od tijela za ocjenu sukladnosti ili potvrdu koju izdaje takvo tijelo, odnosno, tehničku dokumentaciju proizvođača), odnosno ponuditelj je dužan  u ponudi na zadovoljavajući način javnom Naručitelju dokazati, bilo kojim prikladnim sredstvom što uključuje i sredstva dokazivanja iz članka 213. ovoga Zakona, da rješenja koja predlaže na jednakovrijedan način zadovoljavaju zahtjeve definirane tehničkim specifikacijama.</w:t>
      </w:r>
    </w:p>
    <w:p>
      <w:pPr>
        <w:pStyle w:val="Normal"/>
        <w:rPr/>
      </w:pPr>
      <w:r>
        <w:rPr/>
      </w:r>
    </w:p>
    <w:p>
      <w:pPr>
        <w:pStyle w:val="Normal"/>
        <w:rPr>
          <w:b/>
          <w:u w:val="single"/>
        </w:rPr>
      </w:pPr>
      <w:r>
        <w:rPr>
          <w:b/>
          <w:u w:val="single"/>
        </w:rPr>
        <w:t>Odredbe o normama</w:t>
      </w:r>
    </w:p>
    <w:p>
      <w:pPr>
        <w:pStyle w:val="Normal"/>
        <w:rPr/>
      </w:pPr>
      <w:r>
        <w:rPr/>
        <w:t>Ukoliko su u dokumentaciji o nabavi navedena tehnička pravila koja opisuju predmet nabave pomoću hrvatskih odnosno europskih odnosno međunarodnih normi, ponuditelj treba ponuditi predmet nabave u skladu s normama iz dokumentacije o nabavi ili jednakovrijednim normama. Za svaku normu navedenu pod dotičnom  normizacijskom sustavu dozvoljeno je nuditi jednakovrijednu normu, tehničko odobrenje odnosno uputu iz odgovarajuće hrvatske, europske ili međunarodne nomenklature.</w:t>
      </w:r>
    </w:p>
    <w:p>
      <w:pPr>
        <w:pStyle w:val="Heading3"/>
        <w:numPr>
          <w:ilvl w:val="1"/>
          <w:numId w:val="1"/>
        </w:numPr>
        <w:ind w:hanging="0" w:left="0"/>
        <w:rPr/>
      </w:pPr>
      <w:bookmarkStart w:id="22" w:name="_Toc506910667"/>
      <w:bookmarkStart w:id="23" w:name="_Toc94776979"/>
      <w:r>
        <w:rPr/>
        <w:t>TROŠKOVNIK</w:t>
      </w:r>
      <w:bookmarkEnd w:id="22"/>
      <w:bookmarkEnd w:id="23"/>
    </w:p>
    <w:p>
      <w:pPr>
        <w:pStyle w:val="BodyText1"/>
        <w:rPr>
          <w:rFonts w:ascii="Calibri" w:hAnsi="Calibri" w:cs="Calibri" w:asciiTheme="minorHAnsi" w:cstheme="minorHAnsi" w:hAnsiTheme="minorHAnsi"/>
          <w:szCs w:val="22"/>
        </w:rPr>
      </w:pPr>
      <w:r>
        <w:rPr>
          <w:rFonts w:cs="Calibri" w:cstheme="minorHAnsi"/>
          <w:szCs w:val="22"/>
        </w:rPr>
        <w:t>Troškovnik se nalazi u prilogu Poziva na dostavu ponuda. Troškovnik mora biti popunjen na izvornom predlošku bez mijenjanja, ispravljanja i prepisivanja izvornog teksta.</w:t>
      </w:r>
    </w:p>
    <w:p>
      <w:pPr>
        <w:pStyle w:val="BodyText1"/>
        <w:rPr>
          <w:rFonts w:cs="Calibri" w:cstheme="minorHAnsi"/>
          <w:bCs/>
        </w:rPr>
      </w:pPr>
      <w:r>
        <w:rPr>
          <w:rFonts w:cs="Calibri" w:cstheme="minorHAnsi"/>
          <w:bCs/>
        </w:rPr>
        <w:t xml:space="preserve">Ukoliko ponuditelj izmijeni troškovnik koji se nalazi u prilogu ovog Poziva (promijeni tekstualni opis, količinu stavke) smatrat će se da je njegova ponuda nepravilna. </w:t>
      </w:r>
    </w:p>
    <w:p>
      <w:pPr>
        <w:pStyle w:val="BodyText1"/>
        <w:rPr>
          <w:rFonts w:ascii="Calibri" w:hAnsi="Calibri" w:cs="Calibri" w:asciiTheme="minorHAnsi" w:cstheme="minorHAnsi" w:hAnsiTheme="minorHAnsi"/>
          <w:szCs w:val="22"/>
        </w:rPr>
      </w:pPr>
      <w:r>
        <w:rPr>
          <w:rFonts w:cs="Calibri" w:cstheme="minorHAnsi"/>
          <w:szCs w:val="22"/>
        </w:rPr>
        <w:t>Ponuditelj mora ispuniti jediničnim cijenama sve stavke opisane u troškovniku.</w:t>
      </w:r>
    </w:p>
    <w:p>
      <w:pPr>
        <w:pStyle w:val="BodyText1"/>
        <w:rPr>
          <w:rFonts w:ascii="Calibri" w:hAnsi="Calibri" w:cs="Calibri" w:asciiTheme="minorHAnsi" w:cstheme="minorHAnsi" w:hAnsiTheme="minorHAnsi"/>
          <w:szCs w:val="22"/>
        </w:rPr>
      </w:pPr>
      <w:r>
        <w:rPr>
          <w:rFonts w:cs="Calibri" w:cstheme="minorHAnsi"/>
          <w:szCs w:val="22"/>
        </w:rPr>
        <w:t>Jedinične cijene stavke troškovnika i ukupna cijena moraju biti zaokružene na 2 (dvije) decimale.</w:t>
      </w:r>
    </w:p>
    <w:p>
      <w:pPr>
        <w:pStyle w:val="BodyText1"/>
        <w:rPr>
          <w:rFonts w:ascii="Calibri" w:hAnsi="Calibri" w:cs="Calibri" w:asciiTheme="minorHAnsi" w:cstheme="minorHAnsi" w:hAnsiTheme="minorHAnsi"/>
          <w:szCs w:val="22"/>
        </w:rPr>
      </w:pPr>
      <w:r>
        <w:rPr>
          <w:rFonts w:cs="Calibri" w:cstheme="minorHAnsi"/>
          <w:szCs w:val="22"/>
        </w:rPr>
        <w:t>Prilikom popunjavanja troškovnika ponuditelj cijenu stavke izračunava kao umnožak količine stavke i jedinične cijene stavke.</w:t>
      </w:r>
    </w:p>
    <w:p>
      <w:pPr>
        <w:pStyle w:val="BodyText1"/>
        <w:rPr>
          <w:rFonts w:cs="Calibri" w:cstheme="minorHAnsi"/>
          <w:bCs/>
        </w:rPr>
      </w:pPr>
      <w:r>
        <w:rPr>
          <w:rFonts w:cs="Calibri" w:cstheme="minorHAnsi"/>
          <w:bCs/>
        </w:rPr>
        <w:t xml:space="preserve">Ukoliko troškovnik nije moguće dopuniti, razjasniti ili upotpuniti bez pregovaranja u vezi s kriterijem za odabir ili ponuđenim predmetom nabave, takvu ponudu Naručitelj će odbiti na temelju rezultata pregleda i ocjene. </w:t>
      </w:r>
    </w:p>
    <w:p>
      <w:pPr>
        <w:pStyle w:val="BodyText1"/>
        <w:rPr>
          <w:rFonts w:ascii="Calibri" w:hAnsi="Calibri" w:cs="Calibri" w:asciiTheme="minorHAnsi" w:cstheme="minorHAnsi" w:hAnsiTheme="minorHAnsi"/>
          <w:szCs w:val="22"/>
        </w:rPr>
      </w:pPr>
      <w:r>
        <w:rPr>
          <w:rFonts w:cs="Calibri" w:cstheme="minorHAnsi"/>
          <w:szCs w:val="22"/>
        </w:rPr>
        <w:t>Ponuditelj mora ponuditi cjelokupni predmet nabave koji se traži u nadmetanju. Ponuditelj je dužan ponuditi i izvršiti predmet nabave sukladno svim tehničkim i drugim uvjetima koji su navedeni u ovom Pozivu na dostavu ponuda.</w:t>
      </w:r>
    </w:p>
    <w:p>
      <w:pPr>
        <w:pStyle w:val="BodyText1"/>
        <w:rPr>
          <w:rFonts w:ascii="Calibri" w:hAnsi="Calibri" w:cs="Calibri" w:asciiTheme="minorHAnsi" w:cstheme="minorHAnsi" w:hAnsiTheme="minorHAnsi"/>
          <w:szCs w:val="22"/>
        </w:rPr>
      </w:pPr>
      <w:r>
        <w:rPr>
          <w:rFonts w:cs="Calibri" w:cstheme="minorHAnsi"/>
          <w:szCs w:val="22"/>
        </w:rPr>
        <w:t>Ponuditelj treba popuniti priloženi nestandardizirani troškovnik (excel tablica) upisivanjem jediničnih i ukupnih cijena i drugih traženih podataka svih stavki navedenih u Troškovniku, a dostavlja se elektronički u .xls Ili .xlsx formatu.</w:t>
      </w:r>
    </w:p>
    <w:p>
      <w:pPr>
        <w:pStyle w:val="BodyText1"/>
        <w:rPr>
          <w:rFonts w:ascii="Calibri" w:hAnsi="Calibri" w:cs="Calibri" w:asciiTheme="minorHAnsi" w:cstheme="minorHAnsi" w:hAnsiTheme="minorHAnsi"/>
          <w:szCs w:val="22"/>
        </w:rPr>
      </w:pPr>
      <w:r>
        <w:rPr>
          <w:rFonts w:cs="Calibr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pPr>
        <w:pStyle w:val="Heading3"/>
        <w:numPr>
          <w:ilvl w:val="1"/>
          <w:numId w:val="1"/>
        </w:numPr>
        <w:ind w:hanging="0" w:left="0"/>
        <w:rPr/>
      </w:pPr>
      <w:bookmarkStart w:id="24" w:name="_Toc506910668"/>
      <w:bookmarkStart w:id="25" w:name="_Toc94776980"/>
      <w:r>
        <w:rPr/>
        <w:t xml:space="preserve">MJESTO IZVRŠENJA </w:t>
      </w:r>
      <w:bookmarkEnd w:id="24"/>
      <w:bookmarkEnd w:id="25"/>
      <w:r>
        <w:rPr/>
        <w:t>UGOVORA</w:t>
      </w:r>
    </w:p>
    <w:p>
      <w:pPr>
        <w:pStyle w:val="Normal"/>
        <w:spacing w:before="0" w:after="0"/>
        <w:rPr/>
      </w:pPr>
      <w:r>
        <w:rPr/>
        <w:t xml:space="preserve">Mjesto izvršenja ugovora je </w:t>
      </w:r>
      <w:r>
        <w:rPr>
          <w:b/>
          <w:bCs/>
        </w:rPr>
        <w:t>po lokacijama i timovima (ordinacijama)</w:t>
      </w:r>
      <w:r>
        <w:rPr/>
        <w:t xml:space="preserve"> Doma zdravlja Zagreb – Zapad kako slijedi:</w:t>
      </w:r>
    </w:p>
    <w:p>
      <w:pPr>
        <w:pStyle w:val="Normal"/>
        <w:spacing w:before="0" w:after="0"/>
        <w:rPr/>
      </w:pPr>
      <w:r>
        <w:rPr/>
      </w:r>
    </w:p>
    <w:p>
      <w:pPr>
        <w:pStyle w:val="Normal"/>
        <w:spacing w:before="0" w:after="0"/>
        <w:rPr/>
      </w:pPr>
      <w:r>
        <w:rPr/>
        <w:t xml:space="preserve">1. </w:t>
        <w:tab/>
        <w:t xml:space="preserve"> ALBAHARIJEVA 4</w:t>
      </w:r>
    </w:p>
    <w:p>
      <w:pPr>
        <w:pStyle w:val="Normal"/>
        <w:spacing w:before="0" w:after="0"/>
        <w:rPr/>
      </w:pPr>
      <w:r>
        <w:rPr/>
        <w:t>2.</w:t>
        <w:tab/>
        <w:t xml:space="preserve"> ANINA 96</w:t>
      </w:r>
    </w:p>
    <w:p>
      <w:pPr>
        <w:pStyle w:val="Normal"/>
        <w:spacing w:before="0" w:after="0"/>
        <w:rPr/>
      </w:pPr>
      <w:r>
        <w:rPr/>
        <w:t>3.</w:t>
        <w:tab/>
        <w:t xml:space="preserve"> BAŠTIJANOVA 52</w:t>
        <w:tab/>
      </w:r>
    </w:p>
    <w:p>
      <w:pPr>
        <w:pStyle w:val="Normal"/>
        <w:spacing w:before="0" w:after="0"/>
        <w:rPr/>
      </w:pPr>
      <w:r>
        <w:rPr/>
        <w:t>4.</w:t>
        <w:tab/>
        <w:t xml:space="preserve"> DRAGUTINA GOLIKA 34a</w:t>
      </w:r>
    </w:p>
    <w:p>
      <w:pPr>
        <w:pStyle w:val="Normal"/>
        <w:spacing w:before="0" w:after="0"/>
        <w:rPr/>
      </w:pPr>
      <w:r>
        <w:rPr/>
        <w:t>5.</w:t>
        <w:tab/>
        <w:t xml:space="preserve"> GANDHIJEVA 5</w:t>
        <w:tab/>
      </w:r>
    </w:p>
    <w:p>
      <w:pPr>
        <w:pStyle w:val="Normal"/>
        <w:spacing w:before="0" w:after="0"/>
        <w:rPr/>
      </w:pPr>
      <w:r>
        <w:rPr/>
        <w:t>6.</w:t>
        <w:tab/>
        <w:t xml:space="preserve"> HRVOJA MACANOVIĆA 2a</w:t>
      </w:r>
    </w:p>
    <w:p>
      <w:pPr>
        <w:pStyle w:val="Normal"/>
        <w:spacing w:before="0" w:after="0"/>
        <w:rPr/>
      </w:pPr>
      <w:r>
        <w:rPr/>
        <w:t>7.            MIROVNI DOM-TRG SLAVOLJUBA PENKALE 1</w:t>
      </w:r>
    </w:p>
    <w:p>
      <w:pPr>
        <w:pStyle w:val="Normal"/>
        <w:spacing w:before="0" w:after="0"/>
        <w:rPr/>
      </w:pPr>
      <w:r>
        <w:rPr/>
        <w:t xml:space="preserve">8. </w:t>
        <w:tab/>
        <w:t xml:space="preserve"> IVANE BRLIĆ MAŽURANIĆ 84,86,88,90</w:t>
      </w:r>
    </w:p>
    <w:p>
      <w:pPr>
        <w:pStyle w:val="Normal"/>
        <w:spacing w:before="0" w:after="0"/>
        <w:rPr/>
      </w:pPr>
      <w:r>
        <w:rPr/>
        <w:t>9.</w:t>
        <w:tab/>
        <w:t xml:space="preserve"> KLAIĆEVA 44</w:t>
      </w:r>
    </w:p>
    <w:p>
      <w:pPr>
        <w:pStyle w:val="Normal"/>
        <w:spacing w:before="0" w:after="0"/>
        <w:rPr/>
      </w:pPr>
      <w:r>
        <w:rPr/>
        <w:t xml:space="preserve">10. </w:t>
        <w:tab/>
        <w:t xml:space="preserve"> KORDUNSKA 4</w:t>
      </w:r>
    </w:p>
    <w:p>
      <w:pPr>
        <w:pStyle w:val="Normal"/>
        <w:spacing w:before="0" w:after="0"/>
        <w:rPr/>
      </w:pPr>
      <w:r>
        <w:rPr/>
        <w:t xml:space="preserve">11. </w:t>
        <w:tab/>
        <w:t xml:space="preserve"> MATIJE I.VLAČIĆA 2</w:t>
      </w:r>
    </w:p>
    <w:p>
      <w:pPr>
        <w:pStyle w:val="Normal"/>
        <w:spacing w:before="0" w:after="0"/>
        <w:rPr/>
      </w:pPr>
      <w:r>
        <w:rPr/>
        <w:t>12.</w:t>
        <w:tab/>
        <w:t xml:space="preserve"> NOVA CESTA 85a</w:t>
      </w:r>
    </w:p>
    <w:p>
      <w:pPr>
        <w:pStyle w:val="Normal"/>
        <w:spacing w:before="0" w:after="0"/>
        <w:rPr/>
      </w:pPr>
      <w:r>
        <w:rPr/>
        <w:t>13.</w:t>
        <w:tab/>
        <w:t xml:space="preserve"> PARK STARA TREŠNJEVKA 3</w:t>
      </w:r>
    </w:p>
    <w:p>
      <w:pPr>
        <w:pStyle w:val="Normal"/>
        <w:spacing w:before="0" w:after="0"/>
        <w:rPr/>
      </w:pPr>
      <w:r>
        <w:rPr/>
        <w:t>14.</w:t>
        <w:tab/>
        <w:t xml:space="preserve"> GRGURA NINSKOG 3/PRILAZ BARUNA FILIPOVIĆA 11</w:t>
      </w:r>
    </w:p>
    <w:p>
      <w:pPr>
        <w:pStyle w:val="Normal"/>
        <w:spacing w:before="0" w:after="0"/>
        <w:rPr/>
      </w:pPr>
      <w:r>
        <w:rPr/>
        <w:t>15.</w:t>
        <w:tab/>
        <w:t xml:space="preserve"> PODSUSEDSKA ALEJA 79</w:t>
      </w:r>
    </w:p>
    <w:p>
      <w:pPr>
        <w:pStyle w:val="Normal"/>
        <w:spacing w:before="0" w:after="0"/>
        <w:rPr/>
      </w:pPr>
      <w:r>
        <w:rPr/>
        <w:t>16.</w:t>
        <w:tab/>
        <w:t xml:space="preserve"> PREČKO 2</w:t>
      </w:r>
    </w:p>
    <w:p>
      <w:pPr>
        <w:pStyle w:val="Normal"/>
        <w:spacing w:before="0" w:after="0"/>
        <w:rPr/>
      </w:pPr>
      <w:r>
        <w:rPr/>
        <w:t>17.</w:t>
        <w:tab/>
        <w:t xml:space="preserve"> RUDOLFA BIĆANIĆA 3</w:t>
      </w:r>
    </w:p>
    <w:p>
      <w:pPr>
        <w:pStyle w:val="Normal"/>
        <w:spacing w:before="0" w:after="0"/>
        <w:rPr/>
      </w:pPr>
      <w:r>
        <w:rPr/>
        <w:t>18.</w:t>
        <w:tab/>
        <w:t xml:space="preserve"> SREDNJACI 13</w:t>
      </w:r>
    </w:p>
    <w:p>
      <w:pPr>
        <w:pStyle w:val="Normal"/>
        <w:spacing w:before="0" w:after="0"/>
        <w:rPr/>
      </w:pPr>
      <w:r>
        <w:rPr/>
        <w:t>19.</w:t>
        <w:tab/>
        <w:t xml:space="preserve"> VRABEČAK 4</w:t>
        <w:tab/>
      </w:r>
    </w:p>
    <w:p>
      <w:pPr>
        <w:pStyle w:val="Normal"/>
        <w:spacing w:before="0" w:after="0"/>
        <w:rPr/>
      </w:pPr>
      <w:r>
        <w:rPr/>
        <w:t>20.</w:t>
        <w:tab/>
        <w:t xml:space="preserve"> TRG STJEPANA SEVERA 1 </w:t>
      </w:r>
    </w:p>
    <w:p>
      <w:pPr>
        <w:pStyle w:val="Normal"/>
        <w:spacing w:before="0" w:after="0"/>
        <w:rPr/>
      </w:pPr>
      <w:r>
        <w:rPr/>
        <w:t>21.</w:t>
        <w:tab/>
        <w:t xml:space="preserve"> VRTLARSKA 1a</w:t>
      </w:r>
    </w:p>
    <w:p>
      <w:pPr>
        <w:pStyle w:val="Normal"/>
        <w:spacing w:before="0" w:after="0"/>
        <w:rPr/>
      </w:pPr>
      <w:r>
        <w:rPr/>
        <w:t>22.</w:t>
        <w:tab/>
        <w:t xml:space="preserve"> II ZAGORSKA  20</w:t>
      </w:r>
    </w:p>
    <w:p>
      <w:pPr>
        <w:pStyle w:val="Normal"/>
        <w:spacing w:before="0" w:after="0"/>
        <w:rPr/>
      </w:pPr>
      <w:r>
        <w:rPr/>
        <w:t>23.</w:t>
        <w:tab/>
        <w:t xml:space="preserve"> ZRINSKOGA 9</w:t>
      </w:r>
    </w:p>
    <w:p>
      <w:pPr>
        <w:pStyle w:val="Normal"/>
        <w:spacing w:before="0" w:after="0"/>
        <w:rPr/>
      </w:pPr>
      <w:r>
        <w:rPr/>
        <w:t>24.</w:t>
        <w:tab/>
        <w:t xml:space="preserve"> ZVONIGRADSKA 9</w:t>
      </w:r>
    </w:p>
    <w:p>
      <w:pPr>
        <w:pStyle w:val="Normal"/>
        <w:spacing w:before="0" w:after="0"/>
        <w:rPr/>
      </w:pPr>
      <w:r>
        <w:rPr/>
        <w:t>25.</w:t>
        <w:tab/>
        <w:t xml:space="preserve"> RUDEŠKA CESTA 148. </w:t>
      </w:r>
    </w:p>
    <w:p>
      <w:pPr>
        <w:pStyle w:val="Normal"/>
        <w:spacing w:before="0" w:after="0"/>
        <w:rPr/>
      </w:pPr>
      <w:r>
        <w:rPr/>
        <w:t>26.          DOM ZA STARIJE OSOBE SVETI JOSIP-DUNJEVAC 17</w:t>
      </w:r>
    </w:p>
    <w:p>
      <w:pPr>
        <w:pStyle w:val="Normal"/>
        <w:spacing w:before="0" w:after="0"/>
        <w:rPr/>
      </w:pPr>
      <w:r>
        <w:rPr/>
        <w:t>27.          MIROVNI DOM-DRENOVAČKA 30</w:t>
      </w:r>
    </w:p>
    <w:p>
      <w:pPr>
        <w:pStyle w:val="Normal"/>
        <w:spacing w:before="0" w:after="0"/>
        <w:rPr/>
      </w:pPr>
      <w:r>
        <w:rPr/>
        <w:t>28.          KRAPINSKA 45 (ERICSSON – TESLA)</w:t>
      </w:r>
    </w:p>
    <w:p>
      <w:pPr>
        <w:pStyle w:val="Normal"/>
        <w:spacing w:before="0" w:after="0"/>
        <w:rPr/>
      </w:pPr>
      <w:r>
        <w:rPr/>
        <w:t>29.          TRG IVANA KUKULJEVIĆA 14</w:t>
      </w:r>
    </w:p>
    <w:p>
      <w:pPr>
        <w:pStyle w:val="Normal"/>
        <w:spacing w:before="0" w:after="0"/>
        <w:rPr/>
      </w:pPr>
      <w:r>
        <w:rPr/>
        <w:t>30.          RADNIČKI DOL 24</w:t>
      </w:r>
    </w:p>
    <w:p>
      <w:pPr>
        <w:pStyle w:val="Normal"/>
        <w:spacing w:before="0" w:after="0"/>
        <w:rPr/>
      </w:pPr>
      <w:r>
        <w:rPr/>
        <w:t>31.          TRG IVANA KUKULJEVIĆA 1</w:t>
      </w:r>
    </w:p>
    <w:p>
      <w:pPr>
        <w:pStyle w:val="Normal"/>
        <w:spacing w:before="0" w:after="0"/>
        <w:rPr/>
      </w:pPr>
      <w:r>
        <w:rPr/>
      </w:r>
    </w:p>
    <w:p>
      <w:pPr>
        <w:pStyle w:val="Heading3"/>
        <w:numPr>
          <w:ilvl w:val="1"/>
          <w:numId w:val="1"/>
        </w:numPr>
        <w:ind w:hanging="0" w:left="0"/>
        <w:rPr/>
      </w:pPr>
      <w:bookmarkStart w:id="26" w:name="_Toc506910669"/>
      <w:bookmarkStart w:id="27" w:name="_Toc94776981"/>
      <w:r>
        <w:rPr/>
        <w:t>ROK POČETKA I ZAVRŠETKA IZVRŠENJA</w:t>
      </w:r>
      <w:r>
        <w:rPr>
          <w:color w:themeColor="accent1" w:themeShade="bf" w:val="2F5496"/>
        </w:rPr>
        <w:t xml:space="preserve"> </w:t>
      </w:r>
      <w:r>
        <w:rPr/>
        <w:t>UGOVORA</w:t>
      </w:r>
      <w:bookmarkEnd w:id="27"/>
      <w:r>
        <w:rPr/>
        <w:t xml:space="preserve"> </w:t>
      </w:r>
      <w:bookmarkEnd w:id="26"/>
    </w:p>
    <w:p>
      <w:pPr>
        <w:pStyle w:val="Normal"/>
        <w:rPr/>
      </w:pPr>
      <w:r>
        <w:rPr/>
        <w:t>Rok početka: od dana obostranog potpisa ugovora o nabavi robe.</w:t>
      </w:r>
    </w:p>
    <w:p>
      <w:pPr>
        <w:pStyle w:val="Normal"/>
        <w:rPr>
          <w:b/>
          <w:bCs/>
        </w:rPr>
      </w:pPr>
      <w:r>
        <w:rPr/>
        <w:t xml:space="preserve">Rok završetka: Krajnji rok je  </w:t>
      </w:r>
      <w:r>
        <w:rPr>
          <w:b/>
          <w:bCs/>
        </w:rPr>
        <w:t>1 godina od dana obostranog potpisa Ugovora.</w:t>
      </w:r>
    </w:p>
    <w:p>
      <w:pPr>
        <w:pStyle w:val="Normal"/>
        <w:tabs>
          <w:tab w:val="clear" w:pos="708"/>
          <w:tab w:val="left" w:pos="284" w:leader="none"/>
        </w:tabs>
        <w:spacing w:before="0" w:after="0"/>
        <w:rPr>
          <w:rFonts w:ascii="Calibri" w:hAnsi="Calibri" w:eastAsia="Times New Roman" w:cs="Calibri"/>
          <w:lang w:eastAsia="en-US"/>
        </w:rPr>
      </w:pPr>
      <w:r>
        <w:rPr>
          <w:rFonts w:eastAsia="Times New Roman" w:cs="Calibri"/>
          <w:lang w:eastAsia="en-US"/>
        </w:rPr>
        <w:t>Odabrani ponuditelj je obvezan, na poziv Naručitelja, izvršiti uslugu popravka autoklava i sterilizatora u roku od 48 sati, u vremenu od 07.00 do 20.00 sati. U slučaju nemogućnosti izvršenja usluga u navedenom roku, dužan je bez odgađanja o tome izvijestiti Naručitelja pisanim putem uz obrazloženje, te dostaviti zamjenski autoklav i sterilizator.</w:t>
      </w:r>
    </w:p>
    <w:p>
      <w:pPr>
        <w:pStyle w:val="Normal"/>
        <w:tabs>
          <w:tab w:val="clear" w:pos="708"/>
          <w:tab w:val="left" w:pos="284" w:leader="none"/>
        </w:tabs>
        <w:spacing w:before="0" w:after="0"/>
        <w:rPr>
          <w:rFonts w:ascii="Calibri" w:hAnsi="Calibri" w:eastAsia="Times New Roman" w:cs="Calibri"/>
          <w:highlight w:val="yellow"/>
          <w:lang w:eastAsia="en-US"/>
        </w:rPr>
      </w:pPr>
      <w:r>
        <w:rPr>
          <w:rFonts w:eastAsia="Times New Roman" w:cs="Calibri"/>
          <w:highlight w:val="yellow"/>
          <w:lang w:eastAsia="en-US"/>
        </w:rPr>
      </w:r>
    </w:p>
    <w:p>
      <w:pPr>
        <w:pStyle w:val="2012TEXT"/>
        <w:spacing w:before="0" w:after="0"/>
        <w:rPr>
          <w:rFonts w:ascii="Calibri" w:hAnsi="Calibri" w:cs="Calibri"/>
          <w:sz w:val="22"/>
          <w:szCs w:val="22"/>
        </w:rPr>
      </w:pPr>
      <w:r>
        <w:rPr>
          <w:rFonts w:cs="Calibri" w:ascii="Calibri" w:hAnsi="Calibri"/>
          <w:sz w:val="22"/>
          <w:szCs w:val="22"/>
        </w:rPr>
        <w:t>Po završetku pružanja usluge, odnosno izvršenju popravka, odabrani ponuditelj je obvezan sastaviti izvješće o kvaru. Izvješće o kvaru mora sadržavati detaljan opis izvedenog posla, popis ugrađenog materijala s navedenim količinama, te vrijeme i datum izvršene usluge.</w:t>
      </w:r>
    </w:p>
    <w:p>
      <w:pPr>
        <w:pStyle w:val="2012TEXT"/>
        <w:spacing w:before="0" w:after="0"/>
        <w:rPr>
          <w:rFonts w:ascii="Calibri" w:hAnsi="Calibri" w:cs="Calibri"/>
          <w:sz w:val="22"/>
          <w:szCs w:val="22"/>
        </w:rPr>
      </w:pPr>
      <w:r>
        <w:rPr>
          <w:rFonts w:cs="Calibri" w:ascii="Calibri" w:hAnsi="Calibri"/>
          <w:sz w:val="22"/>
          <w:szCs w:val="22"/>
        </w:rPr>
        <w:t xml:space="preserve">Izvješće o kvaru mora biti potpisano od ovlaštenih osoba naručitelja i odabranog ponuditelja. </w:t>
      </w:r>
    </w:p>
    <w:p>
      <w:pPr>
        <w:pStyle w:val="2012TEXT"/>
        <w:spacing w:before="0" w:after="0"/>
        <w:rPr>
          <w:rFonts w:ascii="Calibri" w:hAnsi="Calibri" w:cs="Calibri"/>
          <w:sz w:val="22"/>
          <w:szCs w:val="22"/>
        </w:rPr>
      </w:pPr>
      <w:r>
        <w:rPr>
          <w:rFonts w:cs="Calibri" w:ascii="Calibri" w:hAnsi="Calibri"/>
          <w:sz w:val="22"/>
          <w:szCs w:val="22"/>
        </w:rPr>
        <w:t xml:space="preserve">Izvješće o kvaru mora biti upisano u servisnu knjigu koja se nalazi u ordinaciji. </w:t>
      </w:r>
    </w:p>
    <w:p>
      <w:pPr>
        <w:pStyle w:val="2012TEXT"/>
        <w:spacing w:before="0" w:after="0"/>
        <w:rPr>
          <w:rFonts w:ascii="Calibri" w:hAnsi="Calibri" w:cs="Calibri"/>
          <w:sz w:val="22"/>
          <w:szCs w:val="22"/>
        </w:rPr>
      </w:pPr>
      <w:r>
        <w:rPr>
          <w:rFonts w:cs="Calibri" w:ascii="Calibri" w:hAnsi="Calibri"/>
          <w:sz w:val="22"/>
          <w:szCs w:val="22"/>
        </w:rPr>
        <w:t>Odabrani ponuditelj je obvezan sve zamijenjene odnosno popravljene dijelove ostaviti u ordinaciji gdje je popravak odnosno zamjena dijelova obavljena uz jedan primjerak izvješća o kvaru.</w:t>
      </w:r>
    </w:p>
    <w:p>
      <w:pPr>
        <w:pStyle w:val="2012TEXT"/>
        <w:spacing w:before="0" w:after="0"/>
        <w:rPr>
          <w:rFonts w:ascii="Calibri" w:hAnsi="Calibri" w:cs="Calibri"/>
          <w:sz w:val="22"/>
          <w:szCs w:val="22"/>
        </w:rPr>
      </w:pPr>
      <w:r>
        <w:rPr>
          <w:rFonts w:cs="Calibri" w:ascii="Calibri" w:hAnsi="Calibri"/>
          <w:sz w:val="22"/>
          <w:szCs w:val="22"/>
        </w:rPr>
        <w:t>Odabrani ponuditelj dostavlja Naručitelju račun, izvješće o kvaru, presliku narudžbenice i radni nalog.</w:t>
      </w:r>
    </w:p>
    <w:p>
      <w:pPr>
        <w:pStyle w:val="2012TEXT"/>
        <w:spacing w:before="0" w:after="0"/>
        <w:rPr>
          <w:rFonts w:ascii="Calibri" w:hAnsi="Calibri" w:cs="Calibri"/>
          <w:sz w:val="22"/>
          <w:szCs w:val="22"/>
        </w:rPr>
      </w:pPr>
      <w:r>
        <w:rPr>
          <w:rFonts w:cs="Calibri" w:ascii="Calibri" w:hAnsi="Calibri"/>
          <w:sz w:val="22"/>
          <w:szCs w:val="22"/>
        </w:rPr>
      </w:r>
    </w:p>
    <w:p>
      <w:pPr>
        <w:pStyle w:val="Normal"/>
        <w:rPr>
          <w:rFonts w:ascii="Calibri" w:hAnsi="Calibri" w:cs="Calibri"/>
        </w:rPr>
      </w:pPr>
      <w:r>
        <w:rPr>
          <w:rFonts w:cs="Calibri"/>
        </w:rPr>
        <w:t>Dinamika isporuke: sukcesivno prema potrebama Naručitelja tijekom perioda važenja ugovora o nabavi, a temeljem izdanih narudžbenica Naručitelja.</w:t>
      </w:r>
    </w:p>
    <w:p>
      <w:pPr>
        <w:pStyle w:val="Normal"/>
        <w:tabs>
          <w:tab w:val="clear" w:pos="708"/>
          <w:tab w:val="left" w:pos="284" w:leader="none"/>
        </w:tabs>
        <w:spacing w:before="0" w:after="0"/>
        <w:rPr>
          <w:rFonts w:ascii="Calibri" w:hAnsi="Calibri" w:eastAsia="Times New Roman" w:cs="Calibri"/>
          <w:lang w:eastAsia="en-US"/>
        </w:rPr>
      </w:pPr>
      <w:r>
        <w:rPr>
          <w:rFonts w:eastAsia="Times New Roman" w:cs="Calibri"/>
          <w:lang w:eastAsia="en-US"/>
        </w:rPr>
        <w:t>Naručitelj će naručivati predmetnu uslugu u skladu sa svojim potrebama, te nije obvezan naručiti cjelokupnu količinu navedenu u Troškovniku.</w:t>
      </w:r>
    </w:p>
    <w:p>
      <w:pPr>
        <w:pStyle w:val="Normal"/>
        <w:rPr>
          <w:rFonts w:ascii="Calibri" w:hAnsi="Calibri" w:cs="Calibri"/>
        </w:rPr>
      </w:pPr>
      <w:r>
        <w:rPr>
          <w:rFonts w:cs="Calibri"/>
        </w:rPr>
      </w:r>
    </w:p>
    <w:p>
      <w:pPr>
        <w:pStyle w:val="Heading1"/>
        <w:numPr>
          <w:ilvl w:val="0"/>
          <w:numId w:val="1"/>
        </w:numPr>
        <w:ind w:hanging="360" w:left="360"/>
        <w:rPr/>
      </w:pPr>
      <w:bookmarkStart w:id="28" w:name="_Toc506910674"/>
      <w:bookmarkEnd w:id="28"/>
      <w:r>
        <w:rPr/>
        <w:t>OSNOVE ZA ISKLJUČENJE GOSPODARSKOG SUBJEKTA</w:t>
      </w:r>
    </w:p>
    <w:p>
      <w:pPr>
        <w:pStyle w:val="Heading1"/>
        <w:numPr>
          <w:ilvl w:val="0"/>
          <w:numId w:val="0"/>
        </w:numPr>
        <w:ind w:hanging="0" w:left="0"/>
        <w:rPr>
          <w:b w:val="false"/>
          <w:bCs w:val="false"/>
          <w:color w:val="auto"/>
        </w:rPr>
      </w:pPr>
      <w:r>
        <w:rPr>
          <w:b w:val="false"/>
          <w:bCs w:val="false"/>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pPr>
        <w:pStyle w:val="Heading1"/>
        <w:numPr>
          <w:ilvl w:val="0"/>
          <w:numId w:val="0"/>
        </w:numPr>
        <w:ind w:hanging="0" w:left="0"/>
        <w:rPr>
          <w:b w:val="false"/>
          <w:bCs w:val="false"/>
          <w:color w:val="auto"/>
        </w:rPr>
      </w:pPr>
      <w:r>
        <w:rPr>
          <w:b w:val="false"/>
          <w:bCs w:val="false"/>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pPr>
        <w:pStyle w:val="Heading1"/>
        <w:numPr>
          <w:ilvl w:val="0"/>
          <w:numId w:val="0"/>
        </w:numPr>
        <w:ind w:hanging="0" w:left="0"/>
        <w:rPr>
          <w:color w:val="auto"/>
        </w:rPr>
      </w:pPr>
      <w:r>
        <w:rPr>
          <w:color w:val="auto"/>
        </w:rPr>
        <w:t>Sve što se ovdje odnosi na razloge isključenja ponuditelja, primjenjivat će se i na zajednicu ponuditelja i podugovaratelje i gospodarske subjekte na koje se ponuditelj oslanja te je za svakog od njih potrebno dostaviti dokumente kojima se dokazuje da ne postoje razlozi za isključenje.</w:t>
      </w:r>
    </w:p>
    <w:p>
      <w:pPr>
        <w:pStyle w:val="Normal"/>
        <w:spacing w:lineRule="auto" w:line="264" w:before="0" w:after="120"/>
        <w:contextualSpacing/>
        <w:rPr>
          <w:rFonts w:cs="Calibri" w:cstheme="minorHAnsi"/>
          <w:b/>
          <w:bCs/>
          <w:color w:themeColor="accent1" w:val="4472C4"/>
          <w:sz w:val="28"/>
          <w:szCs w:val="28"/>
        </w:rPr>
      </w:pPr>
      <w:r>
        <w:rPr>
          <w:rFonts w:cs="Calibri" w:cstheme="minorHAnsi"/>
          <w:b/>
          <w:bCs/>
          <w:color w:themeColor="accent1" w:val="4472C4"/>
          <w:sz w:val="28"/>
          <w:szCs w:val="28"/>
        </w:rPr>
      </w:r>
    </w:p>
    <w:p>
      <w:pPr>
        <w:pStyle w:val="Normal"/>
        <w:spacing w:lineRule="auto" w:line="264" w:before="0" w:after="120"/>
        <w:contextualSpacing/>
        <w:rPr>
          <w:rFonts w:cs="Calibri" w:cstheme="minorHAnsi"/>
          <w:b/>
          <w:bCs/>
          <w:color w:themeColor="accent1" w:val="4472C4"/>
          <w:sz w:val="28"/>
          <w:szCs w:val="28"/>
        </w:rPr>
      </w:pPr>
      <w:r>
        <w:rPr>
          <w:rFonts w:cs="Calibri" w:cstheme="minorHAnsi"/>
          <w:b/>
          <w:bCs/>
          <w:color w:themeColor="accent1" w:val="4472C4"/>
          <w:sz w:val="28"/>
          <w:szCs w:val="28"/>
        </w:rPr>
      </w:r>
    </w:p>
    <w:p>
      <w:pPr>
        <w:pStyle w:val="Normal"/>
        <w:spacing w:lineRule="auto" w:line="264" w:before="0" w:after="120"/>
        <w:contextualSpacing/>
        <w:rPr>
          <w:rFonts w:eastAsia="Times New Roman" w:cs="Calibri" w:cstheme="minorHAnsi"/>
          <w:smallCaps/>
          <w:color w:themeColor="accent1" w:val="4472C4"/>
          <w:sz w:val="28"/>
          <w:szCs w:val="28"/>
        </w:rPr>
      </w:pPr>
      <w:r>
        <w:rPr>
          <w:rFonts w:cs="Calibri" w:cstheme="minorHAnsi"/>
          <w:b/>
          <w:bCs/>
          <w:color w:themeColor="accent1" w:val="4472C4"/>
        </w:rPr>
        <w:t>3.1.</w:t>
      </w:r>
      <w:r>
        <w:rPr>
          <w:rFonts w:cs="Calibri" w:cstheme="minorHAnsi"/>
          <w:color w:themeColor="accent1" w:val="4472C4"/>
          <w:sz w:val="28"/>
          <w:szCs w:val="28"/>
        </w:rPr>
        <w:t xml:space="preserve"> </w:t>
      </w:r>
      <w:r>
        <w:rPr>
          <w:rStyle w:val="IntenseReference"/>
          <w:rFonts w:cs="Calibri" w:cstheme="minorHAnsi"/>
          <w:color w:themeColor="accent1" w:val="4472C4"/>
          <w:sz w:val="28"/>
          <w:szCs w:val="28"/>
          <w:u w:val="none"/>
        </w:rPr>
        <w:t xml:space="preserve">  osnove povezane s kaznenim presudama</w:t>
      </w:r>
    </w:p>
    <w:p>
      <w:pPr>
        <w:pStyle w:val="Normal"/>
        <w:rPr>
          <w:rFonts w:ascii="Calibri" w:hAnsi="Calibri" w:cs="Calibri"/>
        </w:rPr>
      </w:pPr>
      <w:r>
        <w:rPr>
          <w:rFonts w:cs="Calibri"/>
        </w:rPr>
        <w:t>Javni Naručitelj obvezan je isključiti gospodarskog subjekta iz postupka jednostavne nabave ako utvrdi da:</w:t>
      </w:r>
    </w:p>
    <w:p>
      <w:pPr>
        <w:pStyle w:val="Normal"/>
        <w:rPr>
          <w:rFonts w:ascii="Calibri" w:hAnsi="Calibri" w:cs="Calibri"/>
        </w:rPr>
      </w:pPr>
      <w:r>
        <w:rPr>
          <w:rFonts w:cs="Calibri"/>
        </w:rPr>
        <w:t>1. 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pPr>
        <w:pStyle w:val="Normal"/>
        <w:rPr>
          <w:rFonts w:ascii="Calibri" w:hAnsi="Calibri" w:cs="Calibri"/>
        </w:rPr>
      </w:pPr>
      <w:r>
        <w:rPr>
          <w:rFonts w:cs="Calibri"/>
        </w:rPr>
        <w:t>a) sudjelovanje u zločinačkoj organizaciji, na temelju</w:t>
      </w:r>
    </w:p>
    <w:p>
      <w:pPr>
        <w:pStyle w:val="Normal"/>
        <w:rPr>
          <w:rFonts w:ascii="Calibri" w:hAnsi="Calibri" w:cs="Calibri"/>
        </w:rPr>
      </w:pPr>
      <w:r>
        <w:rPr>
          <w:rFonts w:cs="Calibri"/>
        </w:rPr>
        <w:t xml:space="preserve">– </w:t>
      </w:r>
      <w:r>
        <w:rPr>
          <w:rFonts w:cs="Calibri"/>
        </w:rPr>
        <w:t>članka 328. (zločinačko udruženje) i članka 329. (počinjenje kaznenog djela u sastavu zločinačkog udruženja) Kaznenog zakona</w:t>
      </w:r>
    </w:p>
    <w:p>
      <w:pPr>
        <w:pStyle w:val="Normal"/>
        <w:rPr>
          <w:rFonts w:ascii="Calibri" w:hAnsi="Calibri" w:cs="Calibri"/>
        </w:rPr>
      </w:pPr>
      <w:r>
        <w:rPr>
          <w:rFonts w:cs="Calibri"/>
        </w:rPr>
        <w:t xml:space="preserve">– </w:t>
      </w:r>
      <w:r>
        <w:rPr>
          <w:rFonts w:cs="Calibri"/>
        </w:rPr>
        <w:t>članka 333. (udruživanje za počinjenje kaznenih djela), iz Kaznenog zakona (»Narodne novine«, br. 110/97., 27/98., 50/00., 129/00., 51/01., 111/03., 190/03., 105/04., 84/05., 71/06., 110/07., 152/08., 57/11., 77/11. i 143/12.)</w:t>
      </w:r>
    </w:p>
    <w:p>
      <w:pPr>
        <w:pStyle w:val="Normal"/>
        <w:rPr>
          <w:rFonts w:ascii="Calibri" w:hAnsi="Calibri" w:cs="Calibri"/>
        </w:rPr>
      </w:pPr>
      <w:r>
        <w:rPr>
          <w:rFonts w:cs="Calibri"/>
        </w:rPr>
        <w:t>b) korupciju, na temelju</w:t>
      </w:r>
    </w:p>
    <w:p>
      <w:pPr>
        <w:pStyle w:val="Normal"/>
        <w:rPr>
          <w:rFonts w:ascii="Calibri" w:hAnsi="Calibri" w:cs="Calibri"/>
        </w:rPr>
      </w:pPr>
      <w:r>
        <w:rPr>
          <w:rFonts w:cs="Calibri"/>
        </w:rPr>
        <w:t xml:space="preserve">– </w:t>
      </w:r>
      <w:r>
        <w:rPr>
          <w:rFonts w:cs="Calibri"/>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pPr>
        <w:pStyle w:val="Normal"/>
        <w:rPr>
          <w:rFonts w:ascii="Calibri" w:hAnsi="Calibri" w:cs="Calibri"/>
        </w:rPr>
      </w:pPr>
      <w:r>
        <w:rPr>
          <w:rFonts w:cs="Calibri"/>
        </w:rPr>
        <w:t xml:space="preserve">– </w:t>
      </w:r>
      <w:r>
        <w:rPr>
          <w:rFonts w:cs="Calibri"/>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pPr>
        <w:pStyle w:val="Normal"/>
        <w:rPr>
          <w:rFonts w:ascii="Calibri" w:hAnsi="Calibri" w:cs="Calibri"/>
        </w:rPr>
      </w:pPr>
      <w:r>
        <w:rPr>
          <w:rFonts w:cs="Calibri"/>
        </w:rPr>
        <w:t>c) prijevaru, na temelju</w:t>
      </w:r>
    </w:p>
    <w:p>
      <w:pPr>
        <w:pStyle w:val="Normal"/>
        <w:rPr>
          <w:rFonts w:ascii="Calibri" w:hAnsi="Calibri" w:cs="Calibri"/>
        </w:rPr>
      </w:pPr>
      <w:r>
        <w:rPr>
          <w:rFonts w:cs="Calibri"/>
        </w:rPr>
        <w:t xml:space="preserve">– </w:t>
      </w:r>
      <w:r>
        <w:rPr>
          <w:rFonts w:cs="Calibri"/>
        </w:rPr>
        <w:t>članka 236. (prijevara), članka 247. (prijevara u gospodarskom poslovanju), članka 256. (utaja poreza ili carine) i članka 258. (subvencijska prijevara) Kaznenog zakona</w:t>
      </w:r>
    </w:p>
    <w:p>
      <w:pPr>
        <w:pStyle w:val="Normal"/>
        <w:rPr>
          <w:rFonts w:ascii="Calibri" w:hAnsi="Calibri" w:cs="Calibri"/>
        </w:rPr>
      </w:pPr>
      <w:r>
        <w:rPr>
          <w:rFonts w:cs="Calibri"/>
        </w:rPr>
        <w:t xml:space="preserve">– </w:t>
      </w:r>
      <w:r>
        <w:rPr>
          <w:rFonts w:cs="Calibri"/>
        </w:rPr>
        <w:t>članka 224. (prijevara), članka 293. (prijevara u gospodarskom poslovanju) i članka 286. (utaja poreza i drugih davanja) iz Kaznenog zakona (»Narodne novine«, br. 110/97., 27/98., 50/00., 129/00., 51/01., 111/03., 190/03., 105/04., 84/05., 71/06., 110/07., 152/08., 57/11., 77/11. i 143/12.)</w:t>
      </w:r>
    </w:p>
    <w:p>
      <w:pPr>
        <w:pStyle w:val="Normal"/>
        <w:rPr>
          <w:rFonts w:ascii="Calibri" w:hAnsi="Calibri" w:cs="Calibri"/>
        </w:rPr>
      </w:pPr>
      <w:r>
        <w:rPr>
          <w:rFonts w:cs="Calibri"/>
        </w:rPr>
        <w:t>d) terorizam ili kaznena djela povezana s terorističkim aktivnostima, na temelju</w:t>
      </w:r>
    </w:p>
    <w:p>
      <w:pPr>
        <w:pStyle w:val="Normal"/>
        <w:rPr>
          <w:rFonts w:ascii="Calibri" w:hAnsi="Calibri" w:cs="Calibri"/>
        </w:rPr>
      </w:pPr>
      <w:r>
        <w:rPr>
          <w:rFonts w:cs="Calibri"/>
        </w:rPr>
        <w:t xml:space="preserve">– </w:t>
      </w:r>
      <w:r>
        <w:rPr>
          <w:rFonts w:cs="Calibri"/>
        </w:rPr>
        <w:t>članka 97. (terorizam), članka 99. (javno poticanje na terorizam), članka 100. (novačenje za terorizam), članka 101. (obuka za terorizam) i članka 102. (terorističko udruženje) Kaznenog zakona</w:t>
      </w:r>
    </w:p>
    <w:p>
      <w:pPr>
        <w:pStyle w:val="Normal"/>
        <w:rPr>
          <w:rFonts w:ascii="Calibri" w:hAnsi="Calibri" w:cs="Calibri"/>
        </w:rPr>
      </w:pPr>
      <w:r>
        <w:rPr>
          <w:rFonts w:cs="Calibri"/>
        </w:rPr>
        <w:t xml:space="preserve">– </w:t>
      </w:r>
      <w:r>
        <w:rPr>
          <w:rFonts w:cs="Calibri"/>
        </w:rPr>
        <w:t>članka 169. (terorizam), članka 169.a (javno poticanje na terorizam) i članka 169.b (novačenje i obuka za terorizam) iz Kaznenog zakona (»Narodne novine«, br. 110/97., 27/98., 50/00., 129/00., 51/01., 111/03., 190/03., 105/04., 84/05., 71/06., 110/07., 152/08., 57/11., 77/11. i 143/12.)</w:t>
      </w:r>
    </w:p>
    <w:p>
      <w:pPr>
        <w:pStyle w:val="Normal"/>
        <w:rPr>
          <w:rFonts w:ascii="Calibri" w:hAnsi="Calibri" w:cs="Calibri"/>
        </w:rPr>
      </w:pPr>
      <w:r>
        <w:rPr>
          <w:rFonts w:cs="Calibri"/>
        </w:rPr>
        <w:t>e) pranje novca ili financiranje terorizma, na temelju</w:t>
      </w:r>
    </w:p>
    <w:p>
      <w:pPr>
        <w:pStyle w:val="Normal"/>
        <w:rPr>
          <w:rFonts w:ascii="Calibri" w:hAnsi="Calibri" w:cs="Calibri"/>
        </w:rPr>
      </w:pPr>
      <w:r>
        <w:rPr>
          <w:rFonts w:cs="Calibri"/>
        </w:rPr>
        <w:t xml:space="preserve">– </w:t>
      </w:r>
      <w:r>
        <w:rPr>
          <w:rFonts w:cs="Calibri"/>
        </w:rPr>
        <w:t>članka 98. (financiranje terorizma) i članka 265. (pranje novca) Kaznenog zakona</w:t>
      </w:r>
    </w:p>
    <w:p>
      <w:pPr>
        <w:pStyle w:val="Normal"/>
        <w:rPr>
          <w:rFonts w:ascii="Calibri" w:hAnsi="Calibri" w:cs="Calibri"/>
        </w:rPr>
      </w:pPr>
      <w:r>
        <w:rPr>
          <w:rFonts w:cs="Calibri"/>
        </w:rPr>
        <w:t xml:space="preserve">– </w:t>
      </w:r>
      <w:r>
        <w:rPr>
          <w:rFonts w:cs="Calibri"/>
        </w:rPr>
        <w:t>članka 279. (pranje novca) iz Kaznenog zakona (»Narodne novine«, br. 110/97., 27/98., 50/00., 129/00., 51/01., 111/03., 190/03., 105/04., 84/05., 71/06., 110/07., 152/08., 57/11., 77/11. i 143/12.)</w:t>
      </w:r>
    </w:p>
    <w:p>
      <w:pPr>
        <w:pStyle w:val="Normal"/>
        <w:rPr>
          <w:rFonts w:ascii="Calibri" w:hAnsi="Calibri" w:cs="Calibri"/>
        </w:rPr>
      </w:pPr>
      <w:r>
        <w:rPr>
          <w:rFonts w:cs="Calibri"/>
        </w:rPr>
        <w:t>f) dječji rad ili druge oblike trgovanja ljudima, na temelju</w:t>
      </w:r>
    </w:p>
    <w:p>
      <w:pPr>
        <w:pStyle w:val="Normal"/>
        <w:rPr>
          <w:rFonts w:ascii="Calibri" w:hAnsi="Calibri" w:cs="Calibri"/>
        </w:rPr>
      </w:pPr>
      <w:r>
        <w:rPr>
          <w:rFonts w:cs="Calibri"/>
        </w:rPr>
        <w:t xml:space="preserve">– </w:t>
      </w:r>
      <w:r>
        <w:rPr>
          <w:rFonts w:cs="Calibri"/>
        </w:rPr>
        <w:t>članka 106. (trgovanje ljudima) Kaznenog zakona</w:t>
      </w:r>
    </w:p>
    <w:p>
      <w:pPr>
        <w:pStyle w:val="Normal"/>
        <w:rPr>
          <w:rFonts w:ascii="Calibri" w:hAnsi="Calibri" w:cs="Calibri"/>
        </w:rPr>
      </w:pPr>
      <w:r>
        <w:rPr>
          <w:rFonts w:cs="Calibri"/>
        </w:rPr>
        <w:t xml:space="preserve">– </w:t>
      </w:r>
      <w:r>
        <w:rPr>
          <w:rFonts w:cs="Calibri"/>
        </w:rPr>
        <w:t>članka 175. (trgovanje ljudima i ropstvo) iz Kaznenog zakona (»Narodne novine«, br. 110/97., 27/98., 50/00., 129/00., 51/01., 111/03., 190/03., 105/04., 84/05., 71/06., 110/07., 152/08., 57/11., 77/11. i 143/12.), ili</w:t>
      </w:r>
    </w:p>
    <w:p>
      <w:pPr>
        <w:pStyle w:val="Normal"/>
        <w:rPr>
          <w:rFonts w:ascii="Calibri" w:hAnsi="Calibri" w:cs="Calibri"/>
        </w:rPr>
      </w:pPr>
      <w:r>
        <w:rPr>
          <w:rFonts w:cs="Calibri"/>
        </w:rPr>
        <w:t>2.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pPr>
        <w:pStyle w:val="Normal"/>
        <w:rPr>
          <w:rFonts w:ascii="Calibri" w:hAnsi="Calibri" w:cs="Calibri"/>
        </w:rPr>
      </w:pPr>
      <w:r>
        <w:rPr>
          <w:rFonts w:cs="Calibri"/>
        </w:rPr>
        <w:t>(2) Javni Naručitelj obvezan je isključiti gospodarskog subjekta u bilo kojem trenutku tijekom postupka jednostavne nabave ako utvrdi da postoje osnove za isključenje sukladno točci 3.1 ovog Poziva.</w:t>
      </w:r>
    </w:p>
    <w:tbl>
      <w:tblPr>
        <w:tblStyle w:val="Reetkatablice"/>
        <w:tblW w:w="9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060"/>
      </w:tblGrid>
      <w:tr>
        <w:trPr>
          <w:trHeight w:val="797" w:hRule="atLeast"/>
        </w:trPr>
        <w:tc>
          <w:tcPr>
            <w:tcW w:w="9060" w:type="dxa"/>
            <w:tcBorders/>
          </w:tcPr>
          <w:p>
            <w:pPr>
              <w:pStyle w:val="Normal"/>
              <w:widowControl w:val="false"/>
              <w:suppressAutoHyphens w:val="true"/>
              <w:spacing w:before="0" w:after="120"/>
              <w:rPr>
                <w:rFonts w:ascii="Calibri" w:hAnsi="Calibri" w:cs="Calibri"/>
                <w:b/>
                <w:lang w:val="hr-HR"/>
              </w:rPr>
            </w:pPr>
            <w:r>
              <w:rPr>
                <w:rFonts w:cs="Calibri"/>
                <w:kern w:val="0"/>
                <w:sz w:val="22"/>
                <w:szCs w:val="22"/>
                <w:lang w:val="hr-HR" w:bidi="ar-SA"/>
              </w:rPr>
              <w:t>Naručitelj će prihvatiti sljedeće kao dovoljan dokaz da ne postoje osnove za isključenje gospodarskog subjekta iz točke 3.1.:</w:t>
            </w:r>
            <w:r>
              <w:rPr>
                <w:rFonts w:cs="Calibri"/>
                <w:b/>
                <w:kern w:val="0"/>
                <w:sz w:val="22"/>
                <w:szCs w:val="22"/>
                <w:lang w:val="hr-HR" w:bidi="ar-SA"/>
              </w:rPr>
              <w:t xml:space="preserve">  Izjava o nekažnjavanju (Prilog 3 ovog Poziva)</w:t>
            </w:r>
          </w:p>
          <w:p>
            <w:pPr>
              <w:pStyle w:val="Normal"/>
              <w:widowControl w:val="false"/>
              <w:suppressAutoHyphens w:val="true"/>
              <w:spacing w:before="0" w:after="120"/>
              <w:rPr>
                <w:rFonts w:ascii="Calibri" w:hAnsi="Calibri" w:cs="Calibri"/>
                <w:u w:val="single"/>
                <w:lang w:val="hr-HR"/>
              </w:rPr>
            </w:pPr>
            <w:r>
              <w:rPr>
                <w:rFonts w:cs="Calibri"/>
                <w:kern w:val="0"/>
                <w:sz w:val="22"/>
                <w:szCs w:val="22"/>
                <w:u w:val="single"/>
                <w:lang w:val="hr-HR" w:bidi="ar-SA"/>
              </w:rPr>
              <w:t>Dokument ne smije biti stariji od 6 mjeseci, računajući od dana objave ovog Poziva.</w:t>
            </w:r>
          </w:p>
        </w:tc>
      </w:tr>
    </w:tbl>
    <w:p>
      <w:pPr>
        <w:pStyle w:val="Heading1"/>
        <w:numPr>
          <w:ilvl w:val="0"/>
          <w:numId w:val="0"/>
        </w:numPr>
        <w:ind w:hanging="0" w:left="0"/>
        <w:rPr>
          <w:b w:val="false"/>
          <w:bCs w:val="false"/>
          <w:color w:themeColor="accent1" w:val="auto"/>
        </w:rPr>
      </w:pPr>
      <w:r>
        <w:rPr>
          <w:b w:val="false"/>
          <w:bCs w:val="false"/>
          <w:color w:themeColor="accent1" w:val="auto"/>
        </w:rPr>
      </w:r>
    </w:p>
    <w:p>
      <w:pPr>
        <w:pStyle w:val="Heading2"/>
        <w:rPr/>
      </w:pPr>
      <w:bookmarkStart w:id="29" w:name="_Toc33707361"/>
      <w:bookmarkStart w:id="30" w:name="_Toc50632492"/>
      <w:bookmarkStart w:id="31" w:name="_Toc62982714"/>
      <w:bookmarkStart w:id="32" w:name="_Toc71024657"/>
      <w:bookmarkStart w:id="33" w:name="_Toc74840161"/>
      <w:bookmarkStart w:id="34" w:name="_Toc122429376"/>
      <w:bookmarkStart w:id="35" w:name="_Toc131608622"/>
      <w:r>
        <w:rPr>
          <w:sz w:val="24"/>
          <w:szCs w:val="24"/>
        </w:rPr>
        <w:t>3.2</w:t>
      </w:r>
      <w:bookmarkEnd w:id="29"/>
      <w:bookmarkEnd w:id="30"/>
      <w:bookmarkEnd w:id="31"/>
      <w:bookmarkEnd w:id="32"/>
      <w:bookmarkEnd w:id="33"/>
      <w:bookmarkEnd w:id="34"/>
      <w:bookmarkEnd w:id="35"/>
      <w:r>
        <w:rPr/>
        <w:t xml:space="preserve">  </w:t>
      </w:r>
      <w:r>
        <w:rPr>
          <w:rStyle w:val="IntenseReference"/>
          <w:b/>
          <w:bCs/>
          <w:u w:val="none"/>
        </w:rPr>
        <w:t>osnove povezane s plaćanjem poreza ili doprinosa za socijalno osiguranje</w:t>
      </w:r>
    </w:p>
    <w:p>
      <w:pPr>
        <w:pStyle w:val="Normal"/>
        <w:rPr>
          <w:bCs/>
        </w:rPr>
      </w:pPr>
      <w:r>
        <w:rPr>
          <w:bCs/>
        </w:rPr>
        <w:t>Naručitelj će isključiti gospodarski subjekt iz postupka nabave ako utvrdi da gospodarski subjekt nije ispunio obveze plaćanja dospjelih poreznih obveza i obveza za mirovinsko i zdravstveno osiguranje:</w:t>
      </w:r>
    </w:p>
    <w:p>
      <w:pPr>
        <w:pStyle w:val="Normal"/>
        <w:rPr>
          <w:bCs/>
        </w:rPr>
      </w:pPr>
      <w:r>
        <w:rPr>
          <w:bCs/>
        </w:rPr>
        <w:t xml:space="preserve">1. u Republici Hrvatskoj, ako gospodarski subjekt ima poslovni nastan u Republici Hrvatskoj, </w:t>
      </w:r>
    </w:p>
    <w:p>
      <w:pPr>
        <w:pStyle w:val="Normal"/>
        <w:rPr>
          <w:bCs/>
        </w:rPr>
      </w:pPr>
      <w:r>
        <w:rPr>
          <w:bCs/>
        </w:rPr>
        <w:t xml:space="preserve">ili </w:t>
      </w:r>
    </w:p>
    <w:p>
      <w:pPr>
        <w:pStyle w:val="Normal"/>
        <w:rPr>
          <w:bCs/>
        </w:rPr>
      </w:pPr>
      <w:r>
        <w:rPr>
          <w:bCs/>
        </w:rPr>
        <w:t>2. u Republici Hrvatskoj ili u državi poslovnog nastana gospodarskog subjekta, ako gospodarski subjekt nema poslovni nastan u Republici Hrvatskoj.</w:t>
      </w:r>
    </w:p>
    <w:p>
      <w:pPr>
        <w:pStyle w:val="Normal"/>
        <w:rPr>
          <w:bCs/>
        </w:rPr>
      </w:pPr>
      <w:r>
        <w:rPr>
          <w:bCs/>
        </w:rPr>
        <w:t>Iznimno, Naručitelj neće isključiti gospodarski subjekt iz postupka nabave ako mu sukladno posebnom propisu plaćanje obveza nije dopušteno ili mu je odobrena odgoda plaćanja.</w:t>
      </w:r>
    </w:p>
    <w:p>
      <w:pPr>
        <w:pStyle w:val="Normal"/>
        <w:rPr>
          <w:bCs/>
        </w:rPr>
      </w:pPr>
      <w:r>
        <w:rPr>
          <w:bCs/>
        </w:rPr>
        <w:t>Za potrebe dokazivanja okolnosti nepostojanja dospjelih poreznih obveza i obveza za mirovinsko i zdravstveno osiguranje, gospodarski subjekt dužan je u ponudi dostaviti:</w:t>
      </w:r>
    </w:p>
    <w:p>
      <w:pPr>
        <w:pStyle w:val="Normal"/>
        <w:pBdr>
          <w:top w:val="single" w:sz="4" w:space="1" w:color="000000"/>
          <w:left w:val="single" w:sz="4" w:space="4" w:color="000000"/>
          <w:bottom w:val="single" w:sz="4" w:space="1" w:color="000000"/>
          <w:right w:val="single" w:sz="4" w:space="4" w:color="000000"/>
        </w:pBdr>
        <w:rPr>
          <w:rFonts w:ascii="Calibri" w:hAnsi="Calibri" w:cs="Calibri"/>
          <w:bCs/>
          <w:iCs/>
        </w:rPr>
      </w:pPr>
      <w:r>
        <w:rPr>
          <w:rFonts w:cs="Calibri"/>
          <w:b/>
          <w:iCs/>
        </w:rPr>
        <w:t>- potvrdu porezne uprave ili drugog nadležnog tijela u državi</w:t>
      </w:r>
      <w:r>
        <w:rPr>
          <w:rFonts w:cs="Calibri"/>
          <w:bCs/>
          <w:iCs/>
        </w:rPr>
        <w:t xml:space="preserve"> poslovnog nastana gospodarskog subjekta ili bilo koji drugi jednakovrijedan dokaz kojim se dokazuje da ne postoje navedene osnove za isključenje, </w:t>
      </w:r>
      <w:r>
        <w:rPr>
          <w:rFonts w:cs="Calibri"/>
          <w:bCs/>
          <w:iCs/>
          <w:u w:val="single"/>
        </w:rPr>
        <w:t>koja ne smije biti starija od dana početka postupka nabave</w:t>
      </w:r>
      <w:r>
        <w:rPr>
          <w:rFonts w:cs="Calibri"/>
          <w:bCs/>
          <w:iCs/>
        </w:rPr>
        <w:t>, odnosno od dana slanja Poziva na dostavu ponuda</w:t>
      </w:r>
    </w:p>
    <w:p>
      <w:pPr>
        <w:pStyle w:val="Normal"/>
        <w:pBdr>
          <w:top w:val="single" w:sz="4" w:space="1" w:color="000000"/>
          <w:left w:val="single" w:sz="4" w:space="4" w:color="000000"/>
          <w:bottom w:val="single" w:sz="4" w:space="1" w:color="000000"/>
          <w:right w:val="single" w:sz="4" w:space="4" w:color="000000"/>
        </w:pBdr>
        <w:rPr>
          <w:rFonts w:ascii="Calibri" w:hAnsi="Calibri" w:cs="Calibri"/>
          <w:bCs/>
          <w:iCs/>
        </w:rPr>
      </w:pPr>
      <w:r>
        <w:rPr>
          <w:rFonts w:cs="Calibri"/>
          <w:bCs/>
          <w:iCs/>
        </w:rPr>
        <w:t xml:space="preserve">Navedeni dokumenti mogu se dostaviti u neovjerenoj preslici. </w:t>
      </w:r>
    </w:p>
    <w:p>
      <w:pPr>
        <w:pStyle w:val="Normal"/>
        <w:rPr>
          <w:bCs/>
        </w:rPr>
      </w:pPr>
      <w:r>
        <w:rPr>
          <w:bCs/>
        </w:rPr>
        <w:t>U slučaju zajednice ponuditelja navedene okolnosti utvrđuju se za sve članove zajednice ponuditelja pojedinačno. U slučaju angažiranja podugovaratelja navedene okolnosti utvrđuju se za sve podugovaratelje pojedinačno kao i na subjekte na čiju se sposobnost gospodarski subjekt oslanja.</w:t>
      </w:r>
    </w:p>
    <w:p>
      <w:pPr>
        <w:pStyle w:val="Normal"/>
        <w:rPr>
          <w:bCs/>
        </w:rPr>
      </w:pPr>
      <w:r>
        <w:rPr>
          <w:bCs/>
        </w:rPr>
        <w:t xml:space="preserve">Ako se u državi poslovnog nastana gospodarskog subjekta, odnosno državi čiji je osoba državljanin, ne izdaju navedeni dokumenti ili ako ne obuhvaćaju sve okolnosti iz ove točke 3.2.,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 </w:t>
      </w:r>
    </w:p>
    <w:p>
      <w:pPr>
        <w:pStyle w:val="Heading1"/>
        <w:numPr>
          <w:ilvl w:val="0"/>
          <w:numId w:val="1"/>
        </w:numPr>
        <w:ind w:hanging="360" w:left="360"/>
        <w:rPr/>
      </w:pPr>
      <w:bookmarkStart w:id="36" w:name="_Toc506910679"/>
      <w:bookmarkStart w:id="37" w:name="_Toc94776988"/>
      <w:bookmarkStart w:id="38" w:name="_Toc112177950"/>
      <w:bookmarkStart w:id="39" w:name="_Toc507087516"/>
      <w:bookmarkStart w:id="40" w:name="_Toc507087695"/>
      <w:bookmarkStart w:id="41" w:name="_Toc508571410"/>
      <w:bookmarkStart w:id="42" w:name="_Toc508582286"/>
      <w:bookmarkStart w:id="43" w:name="_Toc508582287"/>
      <w:bookmarkStart w:id="44" w:name="_Toc506910674_Copy_1"/>
      <w:bookmarkEnd w:id="39"/>
      <w:bookmarkEnd w:id="40"/>
      <w:bookmarkEnd w:id="41"/>
      <w:bookmarkEnd w:id="42"/>
      <w:bookmarkEnd w:id="43"/>
      <w:bookmarkEnd w:id="44"/>
      <w:r>
        <w:rPr/>
        <w:t>KRITERIJI ZA ODABIR GOSPODARSKOG SUBJEKTA (UVJETI SPOSOBNOSTI)</w:t>
      </w:r>
      <w:bookmarkEnd w:id="36"/>
      <w:bookmarkEnd w:id="37"/>
      <w:bookmarkEnd w:id="38"/>
    </w:p>
    <w:p>
      <w:pPr>
        <w:pStyle w:val="Normal"/>
        <w:spacing w:before="0" w:after="60"/>
        <w:rPr>
          <w:rFonts w:cs="Calibri" w:cstheme="minorHAnsi"/>
        </w:rPr>
      </w:pPr>
      <w:r>
        <w:rPr>
          <w:rFonts w:cs="Calibri" w:cstheme="minorHAnsi"/>
        </w:rPr>
        <w:t>Naručitelj kao uvjete sposobnosti gospodarskog subjekta u ovom postupku nabave određuje sljedeće kriterije za odabir:</w:t>
      </w:r>
    </w:p>
    <w:p>
      <w:pPr>
        <w:pStyle w:val="Normal"/>
        <w:spacing w:before="0" w:after="0"/>
        <w:rPr>
          <w:rFonts w:cs="Calibri" w:cstheme="minorHAnsi"/>
        </w:rPr>
      </w:pPr>
      <w:r>
        <w:rPr>
          <w:rFonts w:cs="Calibri" w:cstheme="minorHAnsi"/>
        </w:rPr>
        <w:t>˗ sposobnost za obavljanje profesionalne djelatnosti</w:t>
      </w:r>
    </w:p>
    <w:p>
      <w:pPr>
        <w:pStyle w:val="Heading3"/>
        <w:numPr>
          <w:ilvl w:val="1"/>
          <w:numId w:val="1"/>
        </w:numPr>
        <w:ind w:hanging="0" w:left="0"/>
        <w:rPr/>
      </w:pPr>
      <w:bookmarkStart w:id="45" w:name="_Toc506910680"/>
      <w:bookmarkStart w:id="46" w:name="_Toc519864763"/>
      <w:bookmarkStart w:id="47" w:name="_Toc94776989"/>
      <w:r>
        <w:rPr/>
        <w:t>UVJETI SPOSOBNOSTI ZA OBAVLJANJE PROFESIONALNE DJELATNOSTI</w:t>
      </w:r>
      <w:bookmarkEnd w:id="45"/>
      <w:bookmarkEnd w:id="46"/>
      <w:bookmarkEnd w:id="47"/>
    </w:p>
    <w:p>
      <w:pPr>
        <w:pStyle w:val="Normal"/>
        <w:rPr>
          <w:b/>
          <w:bCs/>
          <w:color w:themeColor="accent1" w:val="4472C4"/>
        </w:rPr>
      </w:pPr>
      <w:r>
        <w:rPr>
          <w:b/>
          <w:bCs/>
          <w:color w:themeColor="accent1" w:val="4472C4"/>
        </w:rPr>
        <w:t>Gospodarski subjekt mora u postupku nabave dokazati upis u sudski, obrtni, strukovni ili drugi odgovarajući registar u državi poslovnog nastana gospodarskog subjekta.</w:t>
      </w:r>
    </w:p>
    <w:p>
      <w:pPr>
        <w:pStyle w:val="Normal"/>
        <w:rPr/>
      </w:pPr>
      <w:r>
        <w:rPr/>
        <w:t>Za potrebe dokazivanja navedene okolnosti, gospodarski subjekt dužan je u ponudi dostaviti:</w:t>
      </w:r>
    </w:p>
    <w:p>
      <w:pPr>
        <w:pStyle w:val="Normal"/>
        <w:pBdr>
          <w:top w:val="single" w:sz="4" w:space="1" w:color="000000"/>
          <w:left w:val="single" w:sz="4" w:space="4" w:color="000000"/>
          <w:bottom w:val="single" w:sz="4" w:space="1" w:color="000000"/>
          <w:right w:val="single" w:sz="4" w:space="4" w:color="000000"/>
        </w:pBdr>
        <w:rPr>
          <w:rFonts w:ascii="Calibri" w:hAnsi="Calibri" w:cs="Calibri"/>
          <w:bCs/>
          <w:iCs/>
        </w:rPr>
      </w:pPr>
      <w:r>
        <w:rPr>
          <w:rFonts w:cs="Calibri"/>
          <w:bCs/>
          <w:iCs/>
        </w:rPr>
        <w:t xml:space="preserve">- </w:t>
      </w:r>
      <w:bookmarkStart w:id="48" w:name="_Hlk170459880"/>
      <w:r>
        <w:rPr>
          <w:rFonts w:cs="Calibri"/>
          <w:b/>
          <w:iCs/>
        </w:rPr>
        <w:t>Izvadak iz sudskog, obrtnog, strukovnog ili drugog odgovarajućeg registra</w:t>
      </w:r>
      <w:r>
        <w:rPr>
          <w:rFonts w:cs="Calibri"/>
          <w:bCs/>
          <w:iCs/>
        </w:rPr>
        <w:t xml:space="preserve"> koji se vodi u državi članici njegova poslovnog nastana </w:t>
      </w:r>
      <w:r>
        <w:rPr>
          <w:rFonts w:cs="Calibri"/>
          <w:bCs/>
          <w:iCs/>
          <w:u w:val="single"/>
        </w:rPr>
        <w:t>koji ne smije biti stariji od dana početka postupka nabave</w:t>
      </w:r>
      <w:r>
        <w:rPr>
          <w:rFonts w:cs="Calibri"/>
          <w:bCs/>
          <w:iCs/>
        </w:rPr>
        <w:t>, odnosno od dana slanja Poziva na dostavu ponuda.</w:t>
      </w:r>
    </w:p>
    <w:p>
      <w:pPr>
        <w:pStyle w:val="Normal"/>
        <w:pBdr>
          <w:top w:val="single" w:sz="4" w:space="1" w:color="000000"/>
          <w:left w:val="single" w:sz="4" w:space="4" w:color="000000"/>
          <w:bottom w:val="single" w:sz="4" w:space="1" w:color="000000"/>
          <w:right w:val="single" w:sz="4" w:space="4" w:color="000000"/>
        </w:pBdr>
        <w:rPr>
          <w:rFonts w:ascii="Calibri" w:hAnsi="Calibri" w:cs="Calibri"/>
          <w:bCs/>
          <w:iCs/>
        </w:rPr>
      </w:pPr>
      <w:r>
        <w:rPr>
          <w:rFonts w:cs="Calibri"/>
          <w:bCs/>
          <w:iCs/>
        </w:rPr>
        <w:t>Navedeni dokumenti mogu se dostaviti u neovjerenoj preslici.</w:t>
      </w:r>
      <w:bookmarkEnd w:id="48"/>
    </w:p>
    <w:p>
      <w:pPr>
        <w:pStyle w:val="Normal"/>
        <w:rPr/>
      </w:pPr>
      <w:r>
        <w:rPr/>
        <w:t>Ako se u državi poslovnog nastana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pPr>
        <w:pStyle w:val="Normal"/>
        <w:rPr/>
      </w:pPr>
      <w:r>
        <w:rPr/>
      </w:r>
    </w:p>
    <w:p>
      <w:pPr>
        <w:pStyle w:val="Heading3"/>
        <w:numPr>
          <w:ilvl w:val="1"/>
          <w:numId w:val="1"/>
        </w:numPr>
        <w:ind w:hanging="0" w:left="0"/>
        <w:rPr/>
      </w:pPr>
      <w:r>
        <w:rPr/>
        <w:t>UVJETI TEHNIČKE I STRUČNE SPOSOBNOSTI I NJIHOVE MINIMALNE RAZINE</w:t>
      </w:r>
    </w:p>
    <w:p>
      <w:pPr>
        <w:pStyle w:val="Normal"/>
        <w:rPr>
          <w:b/>
          <w:bCs/>
          <w:color w:themeColor="accent1" w:val="4472C4"/>
        </w:rPr>
      </w:pPr>
      <w:r>
        <w:rPr>
          <w:b/>
          <w:bCs/>
          <w:color w:themeColor="accent1" w:val="4472C4"/>
        </w:rPr>
        <w:t>4.2.1. Certifikat ISO 13485</w:t>
      </w:r>
    </w:p>
    <w:p>
      <w:pPr>
        <w:pStyle w:val="Normal"/>
        <w:rPr/>
      </w:pPr>
      <w:r>
        <w:rPr/>
        <w:t>Gospodarski subjekt mora u postupku nabave dokazati da posjeduje važeći  certifikat ISO 13485 ili jednakovrijedan certifikat izdan od neovisnog akreditiranog certifikacijskog tijela.</w:t>
      </w:r>
    </w:p>
    <w:p>
      <w:pPr>
        <w:pStyle w:val="Normal"/>
        <w:rPr/>
      </w:pPr>
      <w:r>
        <w:rPr/>
        <w:t>Za potrebe dokazivanja navedene okolnosti, gospodarski subjekt dužan je u ponudi dostaviti:</w:t>
      </w:r>
    </w:p>
    <w:p>
      <w:pPr>
        <w:pStyle w:val="Normal"/>
        <w:pBdr>
          <w:top w:val="single" w:sz="4" w:space="1" w:color="000000"/>
          <w:left w:val="single" w:sz="4" w:space="4" w:color="000000"/>
          <w:bottom w:val="single" w:sz="4" w:space="1" w:color="000000"/>
          <w:right w:val="single" w:sz="4" w:space="4" w:color="000000"/>
        </w:pBdr>
        <w:rPr>
          <w:rFonts w:ascii="Calibri" w:hAnsi="Calibri" w:cs="Calibri"/>
          <w:bCs/>
          <w:iCs/>
        </w:rPr>
      </w:pPr>
      <w:r>
        <w:rPr>
          <w:rFonts w:cs="Calibri"/>
          <w:bCs/>
          <w:iCs/>
        </w:rPr>
        <w:t xml:space="preserve">- </w:t>
      </w:r>
      <w:r>
        <w:rPr>
          <w:rFonts w:cs="Calibri"/>
          <w:b/>
          <w:iCs/>
        </w:rPr>
        <w:t>važeći certifikat ISO 134858 ili jednakovrijedan certifikat</w:t>
      </w:r>
    </w:p>
    <w:p>
      <w:pPr>
        <w:pStyle w:val="Normal"/>
        <w:pBdr>
          <w:top w:val="single" w:sz="4" w:space="1" w:color="000000"/>
          <w:left w:val="single" w:sz="4" w:space="4" w:color="000000"/>
          <w:bottom w:val="single" w:sz="4" w:space="1" w:color="000000"/>
          <w:right w:val="single" w:sz="4" w:space="4" w:color="000000"/>
        </w:pBdr>
        <w:rPr>
          <w:rFonts w:ascii="Calibri" w:hAnsi="Calibri" w:cs="Calibri"/>
          <w:bCs/>
          <w:iCs/>
        </w:rPr>
      </w:pPr>
      <w:r>
        <w:rPr>
          <w:rFonts w:cs="Calibri"/>
          <w:bCs/>
          <w:iCs/>
        </w:rPr>
        <w:t>Navedeni dokument može se dostaviti u neovjerenoj preslici. Neovjerenom preslikom smatra se i neovjereni ispis elektroničke isprave.</w:t>
      </w:r>
    </w:p>
    <w:p>
      <w:pPr>
        <w:pStyle w:val="Normal"/>
        <w:rPr/>
      </w:pPr>
      <w:r>
        <w:rPr/>
      </w:r>
    </w:p>
    <w:p>
      <w:pPr>
        <w:pStyle w:val="Normal"/>
        <w:rPr>
          <w:b/>
          <w:bCs/>
          <w:color w:themeColor="accent1" w:val="4472C4"/>
        </w:rPr>
      </w:pPr>
      <w:r>
        <w:rPr>
          <w:b/>
          <w:bCs/>
          <w:color w:themeColor="accent1" w:val="4472C4"/>
        </w:rPr>
        <w:t>4.2.2. PODACI O ANGAŽIRANIM TEHNIČKIM STRUČNJACIMA ILI TEHNIČKIM TIJELIMA</w:t>
      </w:r>
    </w:p>
    <w:p>
      <w:pPr>
        <w:pStyle w:val="Normal"/>
        <w:rPr/>
      </w:pPr>
      <w:r>
        <w:rPr/>
        <w:t>Gospodarski subjekt mora za izvršenje predmeta nabave angažirati slijedeće tehničke stručnjake/tehnička tijela:</w:t>
      </w:r>
    </w:p>
    <w:p>
      <w:pPr>
        <w:pStyle w:val="Normal"/>
        <w:rPr/>
      </w:pPr>
      <w:r>
        <w:rPr>
          <w:b/>
          <w:bCs/>
        </w:rPr>
        <w:t>minimalno jednu (1) osobu</w:t>
      </w:r>
      <w:r>
        <w:rPr/>
        <w:t xml:space="preserve"> za servisno tehničku podršku  koji posjeduju strukovnu sposobnost, stručno znanje i iskustvo potrebno za izvršavanje predmeta nabave.</w:t>
      </w:r>
    </w:p>
    <w:p>
      <w:pPr>
        <w:pStyle w:val="Normal"/>
        <w:rPr/>
      </w:pPr>
      <w:r>
        <w:rPr/>
        <w:t>Ponuditelj može u izvršenju ugovora angažirati i veći broj stručnjaka uz ograničenje da svakako mora angažirati minimum stručnjaka tražen dokumentacijom o nabavi.</w:t>
      </w:r>
    </w:p>
    <w:p>
      <w:pPr>
        <w:pStyle w:val="Normal"/>
        <w:rPr/>
      </w:pPr>
      <w:r>
        <w:rPr/>
        <w:t>Za potrebe dokazivanja navedene okolnosti, gospodarski subjekt dužan je u ponudi dostaviti:</w:t>
      </w:r>
    </w:p>
    <w:p>
      <w:pPr>
        <w:pStyle w:val="Normal"/>
        <w:pBdr>
          <w:top w:val="single" w:sz="4" w:space="1" w:color="000000"/>
          <w:left w:val="single" w:sz="4" w:space="4" w:color="000000"/>
          <w:bottom w:val="single" w:sz="4" w:space="1" w:color="000000"/>
          <w:right w:val="single" w:sz="4" w:space="4" w:color="000000"/>
        </w:pBdr>
        <w:rPr>
          <w:rFonts w:ascii="Calibri" w:hAnsi="Calibri" w:cs="Calibri"/>
          <w:bCs/>
          <w:iCs/>
        </w:rPr>
      </w:pPr>
      <w:r>
        <w:rPr>
          <w:rFonts w:cs="Calibri"/>
          <w:b/>
          <w:iCs/>
        </w:rPr>
        <w:t>izjavu ponuditelja</w:t>
      </w:r>
      <w:r>
        <w:rPr>
          <w:rFonts w:cs="Calibri"/>
          <w:bCs/>
          <w:iCs/>
        </w:rPr>
        <w:t xml:space="preserve"> kojima se potvrđuje angažman tehničkih stručnjaka na kojoj su navedena imena i prezimena stručnjaka</w:t>
      </w:r>
    </w:p>
    <w:p>
      <w:pPr>
        <w:pStyle w:val="Heading3"/>
        <w:numPr>
          <w:ilvl w:val="1"/>
          <w:numId w:val="1"/>
        </w:numPr>
        <w:ind w:hanging="0" w:left="0"/>
        <w:rPr/>
      </w:pPr>
      <w:r>
        <w:rPr/>
        <w:t>UVJETI SPOSOBNOSTI U SLUČAJU ZAJEDNICE GOSPODARSKIH SUBJEKATA</w:t>
      </w:r>
    </w:p>
    <w:p>
      <w:pPr>
        <w:pStyle w:val="Normal"/>
        <w:rPr>
          <w:u w:val="single"/>
        </w:rPr>
      </w:pPr>
      <w:r>
        <w:rPr/>
        <w:t xml:space="preserve">U slučaju zajednice ponuditelja, </w:t>
      </w:r>
      <w:r>
        <w:rPr>
          <w:b/>
          <w:bCs/>
        </w:rPr>
        <w:t>svi članovi zajednice obvezni su pojedinačno dokazati svoju sposobnost za obavljanje profesionalne djelatnosti.</w:t>
      </w:r>
      <w:r>
        <w:rPr>
          <w:u w:val="single"/>
        </w:rPr>
        <w:t xml:space="preserve"> </w:t>
      </w:r>
    </w:p>
    <w:p>
      <w:pPr>
        <w:pStyle w:val="Normal"/>
        <w:rPr/>
      </w:pPr>
      <w:r>
        <w:rPr/>
        <w:t>Ponuda zajednice ponuditelja mora sadržavati podatke o svakom članu zajednice uz obveznu naznaku člana zajednice koji je voditelj zajednice, te koji je ovlašten za komunikaciju s Naručiteljem. Ponuda zajednice mora sadržavati podatke o tome koji će dio ugovora o nabavi (predmet, količina, vrijednost, postotni dio) izvršavati pojedini član zajednice ponuditelja. Naručitelj neposredno plaća svakom članu zajednice ponuditelja za onaj dio ugovora o nabavi koji je on izvršio, osim ako zajednica ponuditelja ne odredi drugačije.</w:t>
      </w:r>
    </w:p>
    <w:p>
      <w:pPr>
        <w:pStyle w:val="Heading3"/>
        <w:numPr>
          <w:ilvl w:val="1"/>
          <w:numId w:val="1"/>
        </w:numPr>
        <w:ind w:hanging="0" w:left="0"/>
        <w:rPr/>
      </w:pPr>
      <w:r>
        <w:rPr/>
        <w:t>UVJETI SPOSOBNOSTI U SLUČAJU PODUGOVARATELJA TE U SLUČAJU OSLANJANJA NA SPOSOBNOST DRUGIH SUBJEKATA</w:t>
      </w:r>
    </w:p>
    <w:p>
      <w:pPr>
        <w:pStyle w:val="Normal"/>
        <w:rPr>
          <w:u w:val="single"/>
        </w:rPr>
      </w:pPr>
      <w:r>
        <w:rPr/>
        <w:t xml:space="preserve">U slučaju podugovaratelja ili oslanjanja na sposobnost drugih subjekata, </w:t>
      </w:r>
      <w:r>
        <w:rPr>
          <w:b/>
          <w:bCs/>
        </w:rPr>
        <w:t>svi gospodarski subjekti obvezni su pojedinačno dokazati svoju sposobnost za obavljanje profesionalne djelatnosti.</w:t>
      </w:r>
      <w:r>
        <w:rPr>
          <w:u w:val="single"/>
        </w:rPr>
        <w:t xml:space="preserve"> </w:t>
      </w:r>
    </w:p>
    <w:p>
      <w:pPr>
        <w:pStyle w:val="Normal"/>
        <w:rPr/>
      </w:pPr>
      <w:r>
        <w:rPr/>
        <w:t>Gospodarski subjekt se može radi dokazivanja ispunjavanja uvjeta ekonomske i financijske sposobnosti (ukoliko se traži) te tehničke i stručne sposobnosti osloniti na sposobnost drugih subjekata, bez obzira na pravnu prirodu njihova međusobnog odnosa.</w:t>
      </w:r>
    </w:p>
    <w:p>
      <w:pPr>
        <w:pStyle w:val="Normal"/>
        <w:rPr/>
      </w:pPr>
      <w:r>
        <w:rPr/>
        <w:t>Ako se gospodarski subjekt oslanja na sposobnost drugih subjekata, mora dokazati Naručitelju da će imati na raspolaganju potrebne resurse za izvršenje ugovora, primjerice prihvaćanjem obveze drugih subjekata da će te resurse staviti na raspolaganje gospodarskom subjektu. U tom slučaju gospodarski subjekt će uz ponudu dostaviti dokaz.</w:t>
      </w:r>
    </w:p>
    <w:p>
      <w:pPr>
        <w:pStyle w:val="Normal"/>
        <w:rPr/>
      </w:pPr>
      <w:r>
        <w:rPr/>
        <w:t xml:space="preserve">Ako je gospodarski subjekt dio ugovora o nabavi dao u podugovor podaci o imenovanim podugovarateljima i dijelovi ugovora koje će oni izvršavati obvezni su sastojci ugovora o nabavi. </w:t>
      </w:r>
    </w:p>
    <w:p>
      <w:pPr>
        <w:pStyle w:val="Normal"/>
        <w:rPr/>
      </w:pPr>
      <w:r>
        <w:rPr/>
        <w:t>Naručitelj će neposredno plaćati podugovaratelju za dio ugovora koji je isti izvršio.</w:t>
      </w:r>
    </w:p>
    <w:p>
      <w:pPr>
        <w:pStyle w:val="Normal"/>
        <w:rPr/>
      </w:pPr>
      <w:r>
        <w:rPr/>
        <w:t>Ugovaratelj mora svom računu priložiti račune svojih podugovaratelja koje je prethodno potvrdio.</w:t>
      </w:r>
    </w:p>
    <w:p>
      <w:pPr>
        <w:pStyle w:val="Heading1"/>
        <w:numPr>
          <w:ilvl w:val="0"/>
          <w:numId w:val="1"/>
        </w:numPr>
        <w:ind w:hanging="360" w:left="360"/>
        <w:rPr/>
      </w:pPr>
      <w:bookmarkStart w:id="49" w:name="_Toc94776996"/>
      <w:bookmarkStart w:id="50" w:name="_Toc112177952"/>
      <w:r>
        <w:rPr/>
        <w:t>PODACI O PONUDI</w:t>
      </w:r>
      <w:bookmarkEnd w:id="49"/>
      <w:bookmarkEnd w:id="50"/>
    </w:p>
    <w:p>
      <w:pPr>
        <w:pStyle w:val="Normal"/>
        <w:rPr>
          <w:rFonts w:cs="Calibri" w:cstheme="minorHAnsi"/>
        </w:rPr>
      </w:pPr>
      <w:r>
        <w:rPr>
          <w:rFonts w:cs="Calibri" w:cstheme="minorHAnsi"/>
        </w:rPr>
        <w:t>Ponuda je izjava volje ponuditelja u pisanom obliku da će izvršiti predmet nabave u skladu s uvjetima i zahtjevima iz Poziva na dostavu ponuda.</w:t>
      </w:r>
      <w:bookmarkStart w:id="51" w:name="_Toc507087530"/>
      <w:bookmarkStart w:id="52" w:name="_Toc507087709"/>
      <w:bookmarkStart w:id="53" w:name="_Toc508571424"/>
      <w:bookmarkStart w:id="54" w:name="_Toc508582299"/>
      <w:bookmarkEnd w:id="51"/>
      <w:bookmarkEnd w:id="52"/>
      <w:bookmarkEnd w:id="53"/>
      <w:bookmarkEnd w:id="54"/>
    </w:p>
    <w:p>
      <w:pPr>
        <w:pStyle w:val="Heading3"/>
        <w:numPr>
          <w:ilvl w:val="1"/>
          <w:numId w:val="1"/>
        </w:numPr>
        <w:ind w:hanging="0" w:left="0"/>
        <w:rPr/>
      </w:pPr>
      <w:bookmarkStart w:id="55" w:name="_Toc94776997"/>
      <w:r>
        <w:rPr/>
        <w:t>SADRŽAJ I NAČIN IZRADE PONUDE</w:t>
      </w:r>
      <w:bookmarkEnd w:id="55"/>
    </w:p>
    <w:p>
      <w:pPr>
        <w:pStyle w:val="Normal"/>
        <w:rPr/>
      </w:pPr>
      <w:r>
        <w:rPr/>
        <w:t>Ponuditelj se pri izradi ponude mora pridržavati zahtjeva i uvjeta Poziva na dostavu ponuda.</w:t>
      </w:r>
    </w:p>
    <w:p>
      <w:pPr>
        <w:pStyle w:val="Normal"/>
        <w:rPr>
          <w:b/>
          <w:bCs/>
        </w:rPr>
      </w:pPr>
      <w:r>
        <w:rPr>
          <w:b/>
          <w:bCs/>
        </w:rPr>
        <w:t>Sadržaj ponude:</w:t>
      </w:r>
    </w:p>
    <w:p>
      <w:pPr>
        <w:pStyle w:val="ListParagraph"/>
        <w:numPr>
          <w:ilvl w:val="0"/>
          <w:numId w:val="7"/>
        </w:numPr>
        <w:rPr/>
      </w:pPr>
      <w:r>
        <w:rPr/>
        <w:t>popunjeni ponudbeni list kreiran putem web aplikacije Naručitelja (u slučaju zajednice ponuditelja i podugovaratelja popunjen Prilog 2.)</w:t>
      </w:r>
    </w:p>
    <w:p>
      <w:pPr>
        <w:pStyle w:val="ListParagraph"/>
        <w:numPr>
          <w:ilvl w:val="0"/>
          <w:numId w:val="7"/>
        </w:numPr>
        <w:rPr/>
      </w:pPr>
      <w:r>
        <w:rPr/>
        <w:t>popunjen troškovnik – Prilog 1.</w:t>
      </w:r>
    </w:p>
    <w:p>
      <w:pPr>
        <w:pStyle w:val="ListParagraph"/>
        <w:numPr>
          <w:ilvl w:val="0"/>
          <w:numId w:val="7"/>
        </w:numPr>
        <w:rPr/>
      </w:pPr>
      <w:r>
        <w:rPr/>
        <w:t>Izjava o nekažnjavanju – Prilog 3. (dokaz iz točke 3.1. Poziva na dostavu ponuda)</w:t>
      </w:r>
    </w:p>
    <w:p>
      <w:pPr>
        <w:pStyle w:val="ListParagraph"/>
        <w:numPr>
          <w:ilvl w:val="0"/>
          <w:numId w:val="7"/>
        </w:numPr>
        <w:rPr/>
      </w:pPr>
      <w:r>
        <w:rPr/>
        <w:t xml:space="preserve">Potvrdu porezne uprave </w:t>
      </w:r>
      <w:r>
        <w:rPr>
          <w:bCs/>
          <w:iCs/>
        </w:rPr>
        <w:t>koja ne smije biti starija od dana početka postupka nabave</w:t>
      </w:r>
      <w:r>
        <w:rPr/>
        <w:t xml:space="preserve"> (dokaz iz točke 3.2. Poziva na dostavu ponuda)</w:t>
      </w:r>
    </w:p>
    <w:p>
      <w:pPr>
        <w:pStyle w:val="ListParagraph"/>
        <w:numPr>
          <w:ilvl w:val="0"/>
          <w:numId w:val="7"/>
        </w:numPr>
        <w:rPr/>
      </w:pPr>
      <w:r>
        <w:rPr>
          <w:bCs/>
          <w:iCs/>
        </w:rPr>
        <w:t>Izvadak iz sudskog, obrtnog, strukovnog ili drugog odgovarajućeg registra koji ne smije biti stariji od dana početka postupka nabave</w:t>
      </w:r>
      <w:r>
        <w:rPr/>
        <w:t xml:space="preserve"> (dokazi iz točke 4.1. Poziva na dostavu ponude)</w:t>
      </w:r>
    </w:p>
    <w:p>
      <w:pPr>
        <w:pStyle w:val="Normal"/>
        <w:numPr>
          <w:ilvl w:val="0"/>
          <w:numId w:val="7"/>
        </w:numPr>
        <w:spacing w:before="0" w:after="0"/>
        <w:contextualSpacing/>
        <w:rPr>
          <w:rFonts w:ascii="Calibri" w:hAnsi="Calibri" w:cs="Calibri"/>
        </w:rPr>
      </w:pPr>
      <w:r>
        <w:rPr>
          <w:rFonts w:cs="Calibri"/>
        </w:rPr>
        <w:t xml:space="preserve">popunjena Tehnička specifikacija – Prilog 4. </w:t>
      </w:r>
    </w:p>
    <w:p>
      <w:pPr>
        <w:pStyle w:val="Normal"/>
        <w:spacing w:before="0" w:after="0"/>
        <w:ind w:left="720"/>
        <w:contextualSpacing/>
        <w:rPr>
          <w:rFonts w:ascii="Calibri" w:hAnsi="Calibri" w:cs="Calibri"/>
        </w:rPr>
      </w:pPr>
      <w:r>
        <w:rPr>
          <w:rFonts w:cs="Calibri"/>
        </w:rPr>
      </w:r>
    </w:p>
    <w:p>
      <w:pPr>
        <w:pStyle w:val="ListParagraph"/>
        <w:numPr>
          <w:ilvl w:val="0"/>
          <w:numId w:val="7"/>
        </w:numPr>
        <w:tabs>
          <w:tab w:val="clear" w:pos="708"/>
          <w:tab w:val="left" w:pos="284" w:leader="none"/>
        </w:tabs>
        <w:spacing w:before="0" w:after="0"/>
        <w:rPr>
          <w:rFonts w:ascii="Calibri" w:hAnsi="Calibri" w:eastAsia="Times New Roman" w:cs="Calibri"/>
          <w:lang w:eastAsia="en-US"/>
        </w:rPr>
      </w:pPr>
      <w:r>
        <w:rPr>
          <w:rFonts w:eastAsia="Times New Roman" w:cs="Calibri"/>
          <w:lang w:eastAsia="en-US"/>
        </w:rPr>
        <w:t>Ponuditelj je obvezan u sklopu ponude priložiti važeći certifikat ISO 13485 primijenjen na prodaju i servis medicinskih uređaja ili jednakovrijedno ( dokaz iz točke 4.2.1. Poziva na dostavu ponude)</w:t>
      </w:r>
    </w:p>
    <w:p>
      <w:pPr>
        <w:pStyle w:val="ListParagraph"/>
        <w:rPr>
          <w:rFonts w:ascii="Calibri" w:hAnsi="Calibri" w:eastAsia="Times New Roman" w:cs="Calibri"/>
          <w:lang w:eastAsia="en-US"/>
        </w:rPr>
      </w:pPr>
      <w:r>
        <w:rPr>
          <w:rFonts w:eastAsia="Times New Roman" w:cs="Calibri"/>
          <w:lang w:eastAsia="en-US"/>
        </w:rPr>
      </w:r>
    </w:p>
    <w:p>
      <w:pPr>
        <w:pStyle w:val="ListParagraph"/>
        <w:numPr>
          <w:ilvl w:val="0"/>
          <w:numId w:val="7"/>
        </w:numPr>
        <w:tabs>
          <w:tab w:val="clear" w:pos="708"/>
          <w:tab w:val="left" w:pos="284" w:leader="none"/>
        </w:tabs>
        <w:spacing w:before="0" w:after="0"/>
        <w:rPr>
          <w:rFonts w:ascii="Calibri" w:hAnsi="Calibri" w:eastAsia="Times New Roman" w:cs="Calibri"/>
          <w:lang w:eastAsia="en-US"/>
        </w:rPr>
      </w:pPr>
      <w:r>
        <w:rPr>
          <w:rFonts w:eastAsia="Times New Roman" w:cs="Calibri"/>
          <w:lang w:eastAsia="en-US"/>
        </w:rPr>
        <w:t>Izjavu ponuditelja kojima se potvrđuje angažman tehničkih stručnjaka na kojoj su navedena imena i prezimena stručnjaka ( dokaz iz točke 4.2.2. Poziva na dostavu ponude)</w:t>
      </w:r>
    </w:p>
    <w:p>
      <w:pPr>
        <w:pStyle w:val="Normal"/>
        <w:spacing w:before="0" w:after="0"/>
        <w:ind w:left="720"/>
        <w:rPr>
          <w:bCs/>
          <w:iCs/>
        </w:rPr>
      </w:pPr>
      <w:r>
        <w:rPr>
          <w:bCs/>
          <w:iCs/>
        </w:rPr>
      </w:r>
    </w:p>
    <w:p>
      <w:pPr>
        <w:pStyle w:val="Normal"/>
        <w:spacing w:before="0" w:after="0"/>
        <w:ind w:left="720"/>
        <w:rPr>
          <w:bCs/>
          <w:iCs/>
        </w:rPr>
      </w:pPr>
      <w:r>
        <w:rPr>
          <w:bCs/>
          <w:iCs/>
        </w:rPr>
      </w:r>
    </w:p>
    <w:p>
      <w:pPr>
        <w:pStyle w:val="Normal"/>
        <w:spacing w:before="0" w:after="0"/>
        <w:rPr>
          <w:b/>
          <w:bCs/>
        </w:rPr>
      </w:pPr>
      <w:r>
        <w:rPr>
          <w:b/>
          <w:bCs/>
        </w:rPr>
        <w:t>Način izrade ponude:</w:t>
      </w:r>
    </w:p>
    <w:p>
      <w:pPr>
        <w:pStyle w:val="Normal"/>
        <w:rPr/>
      </w:pPr>
      <w:r>
        <w:rPr/>
        <w:t xml:space="preserve">Ponuda se izrađuje u pisanom obliku na hrvatskom jeziku i latiničnom pismu. </w:t>
      </w:r>
    </w:p>
    <w:p>
      <w:pPr>
        <w:pStyle w:val="Normal"/>
        <w:rPr/>
      </w:pPr>
      <w:r>
        <w:rPr/>
        <w:t>U roku za dostavu ponude ponuditelj može izmijeniti svoju ponudu, nadopuniti je ili od nje odustati.</w:t>
      </w:r>
    </w:p>
    <w:p>
      <w:pPr>
        <w:pStyle w:val="Normal"/>
        <w:rPr/>
      </w:pPr>
      <w:r>
        <w:rPr/>
        <w:t>Ponuditelj je obvezan izmjenu dostaviti na isti način kao i osnovnu ponudu s naznakom da se radi o izmjeni.</w:t>
      </w:r>
    </w:p>
    <w:p>
      <w:pPr>
        <w:pStyle w:val="Normal"/>
        <w:rPr/>
      </w:pPr>
      <w:r>
        <w:rP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pPr>
        <w:pStyle w:val="Heading3"/>
        <w:numPr>
          <w:ilvl w:val="1"/>
          <w:numId w:val="1"/>
        </w:numPr>
        <w:ind w:hanging="0" w:left="0"/>
        <w:rPr/>
      </w:pPr>
      <w:bookmarkStart w:id="56" w:name="_Toc94776998"/>
      <w:r>
        <w:rPr/>
        <w:t>NAČIN DOSTAVE PONUDE</w:t>
      </w:r>
      <w:bookmarkEnd w:id="56"/>
    </w:p>
    <w:p>
      <w:pPr>
        <w:pStyle w:val="Normal"/>
        <w:rPr/>
      </w:pPr>
      <w:r>
        <w:rPr/>
        <w:t>Ponuda se dostavlja u digitalnom obliku (skenirane) putem web aplikacije Naručitelja</w:t>
      </w:r>
    </w:p>
    <w:p>
      <w:pPr>
        <w:pStyle w:val="Heading3"/>
        <w:numPr>
          <w:ilvl w:val="1"/>
          <w:numId w:val="1"/>
        </w:numPr>
        <w:ind w:hanging="0" w:left="0"/>
        <w:rPr/>
      </w:pPr>
      <w:bookmarkStart w:id="57" w:name="_Toc94777002"/>
      <w:r>
        <w:rPr/>
        <w:t>VARIJANTE PONUDE</w:t>
      </w:r>
      <w:bookmarkEnd w:id="57"/>
    </w:p>
    <w:p>
      <w:pPr>
        <w:pStyle w:val="Normal"/>
        <w:spacing w:before="0" w:after="0"/>
        <w:rPr>
          <w:rFonts w:cs="Calibri" w:cstheme="minorHAnsi"/>
        </w:rPr>
      </w:pPr>
      <w:r>
        <w:rPr>
          <w:rFonts w:cs="Calibri" w:cstheme="minorHAnsi"/>
        </w:rPr>
        <w:t>U ovom postupku nabave varijante ponude nisu dopuštene.</w:t>
      </w:r>
    </w:p>
    <w:p>
      <w:pPr>
        <w:pStyle w:val="Heading3"/>
        <w:numPr>
          <w:ilvl w:val="1"/>
          <w:numId w:val="1"/>
        </w:numPr>
        <w:ind w:hanging="0" w:left="0"/>
        <w:rPr/>
      </w:pPr>
      <w:bookmarkStart w:id="58" w:name="_Toc94777003"/>
      <w:r>
        <w:rPr/>
        <w:t>NAČIN ODREĐIVANJA CIJENE PONUDE</w:t>
      </w:r>
      <w:bookmarkEnd w:id="58"/>
    </w:p>
    <w:p>
      <w:pPr>
        <w:pStyle w:val="Normal"/>
        <w:rPr>
          <w:rFonts w:ascii="Calibri" w:hAnsi="Calibri" w:cs="Calibri"/>
        </w:rPr>
      </w:pPr>
      <w:r>
        <w:rPr>
          <w:rFonts w:cs="Calibri"/>
        </w:rPr>
        <w:t xml:space="preserve">Gospodarski subjekt dostavlja ponudu s cijenom u eurima. Cijena ponude piše se brojkama u apsolutnom iznosu zaokruženo na dvije decimale. </w:t>
      </w:r>
    </w:p>
    <w:p>
      <w:pPr>
        <w:pStyle w:val="Normal"/>
        <w:rPr>
          <w:rFonts w:ascii="Calibri" w:hAnsi="Calibri" w:cs="Calibri"/>
        </w:rPr>
      </w:pPr>
      <w:r>
        <w:rPr>
          <w:rFonts w:cs="Calibri"/>
        </w:rPr>
        <w:t>U cijenu ponude bez poreza na dodanu vrijednost moraju biti uračunati svi troškovi, uključujući posebne poreze, trošarine i carine, ako postoje, te popusti.</w:t>
      </w:r>
    </w:p>
    <w:p>
      <w:pPr>
        <w:pStyle w:val="Normal"/>
        <w:rPr>
          <w:rFonts w:ascii="Calibri" w:hAnsi="Calibri" w:cs="Calibri"/>
        </w:rPr>
      </w:pPr>
      <w:r>
        <w:rPr>
          <w:rFonts w:cs="Calibri"/>
        </w:rPr>
        <w:t>Ukoliko Ponuditelj daje popust na cijenu ponude, isti mora biti uključen u stavke Troškovnika te ga nije dopustivo zasebno iskazivati.</w:t>
      </w:r>
    </w:p>
    <w:p>
      <w:pPr>
        <w:pStyle w:val="Normal"/>
        <w:rPr>
          <w:rFonts w:cs="Arial"/>
          <w:u w:val="single"/>
        </w:rPr>
      </w:pPr>
      <w:r>
        <w:rPr>
          <w:rFonts w:cs="Arial"/>
          <w:u w:val="single"/>
        </w:rPr>
        <w:t>Jedinične cijene stavki iz ponude (troškovnika) su fiksne i nepromjenjive za cijelo vrijeme trajanja ugovora.</w:t>
      </w:r>
    </w:p>
    <w:p>
      <w:pPr>
        <w:pStyle w:val="Normal"/>
        <w:rPr>
          <w:rFonts w:ascii="Calibri" w:hAnsi="Calibri" w:cs="Calibri"/>
        </w:rPr>
      </w:pPr>
      <w:r>
        <w:rPr>
          <w:rFonts w:cs="Calibri"/>
        </w:rPr>
        <w:t>Ponuda se odnosi na cjelokupan predmet nabave.</w:t>
      </w:r>
    </w:p>
    <w:p>
      <w:pPr>
        <w:pStyle w:val="Normal"/>
        <w:rPr>
          <w:rFonts w:ascii="Calibri" w:hAnsi="Calibri" w:cs="Calibri"/>
        </w:rPr>
      </w:pPr>
      <w:r>
        <w:rPr>
          <w:rFonts w:cs="Calibri"/>
        </w:rPr>
        <w:t>Ponuditelj se obvezuje predmet nabave izvršavati po jediničnim cijenama naznačenim u ponudi dostavljenoj na nadmetanje u postupku nabave.</w:t>
      </w:r>
    </w:p>
    <w:p>
      <w:pPr>
        <w:pStyle w:val="Normal"/>
        <w:rPr>
          <w:rFonts w:ascii="Calibri" w:hAnsi="Calibri" w:cs="Calibri"/>
          <w:bCs/>
        </w:rPr>
      </w:pPr>
      <w:r>
        <w:rPr>
          <w:rFonts w:cs="Calibri"/>
          <w:bCs/>
        </w:rPr>
        <w:t>Ukoliko određenu stavku troškovnika ponuditelj neće naplaćivati, odnosno, ukoliko ju nudi besplatno ili je ista uračunata u cijenu neke druge stavke, ponuditelj je u troškovniku za istu stavku obvezan upisati iznos „0,00“.</w:t>
      </w:r>
    </w:p>
    <w:p>
      <w:pPr>
        <w:pStyle w:val="Normal"/>
        <w:rPr>
          <w:rFonts w:ascii="Calibri" w:hAnsi="Calibri" w:cs="Calibri"/>
          <w:bCs/>
        </w:rPr>
      </w:pPr>
      <w:r>
        <w:rPr>
          <w:rFonts w:cs="Calibri"/>
          <w:bCs/>
        </w:rPr>
        <w:t>Ukoliko se na određenu stavku troškovnika ne obračunava PDV, cijena bez PDV-a je ujedno i cijena s PDV-om, te je za istu stavku troškovnika u stupac „Iznos PDV-a“ potrebno upisati 0,00.</w:t>
      </w:r>
    </w:p>
    <w:p>
      <w:pPr>
        <w:pStyle w:val="Normal"/>
        <w:rPr>
          <w:rFonts w:ascii="Calibri" w:hAnsi="Calibri" w:cs="Calibri"/>
        </w:rPr>
      </w:pPr>
      <w:r>
        <w:rPr>
          <w:rFonts w:cs="Calibri"/>
        </w:rPr>
        <w:t>Kada cijena ponude bez PDV-a izražena u Troškovniku ne odgovara cijeni ponude bez PDV-a izraženoj u Ponudbenom listu, vrijedi cijena ponude bez poreza na dodanu vrijednost izražena u Troškovniku.</w:t>
      </w:r>
    </w:p>
    <w:p>
      <w:pPr>
        <w:pStyle w:val="Normal"/>
        <w:rPr>
          <w:rFonts w:cs="Arial"/>
        </w:rPr>
      </w:pPr>
      <w:r>
        <w:rPr>
          <w:rFonts w:cs="Arial"/>
        </w:rPr>
        <w:t>Iznos PDV-a te iznos ponude s PDV-om iskazuju se zasebno u ponudbenom listu.</w:t>
      </w:r>
    </w:p>
    <w:p>
      <w:pPr>
        <w:pStyle w:val="Normal"/>
        <w:rPr>
          <w:rFonts w:cs="Arial"/>
        </w:rPr>
      </w:pPr>
      <w:r>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Pr>
          <w:rFonts w:cs="Arial"/>
        </w:rPr>
        <w:t>.</w:t>
      </w:r>
    </w:p>
    <w:p>
      <w:pPr>
        <w:pStyle w:val="Heading3"/>
        <w:numPr>
          <w:ilvl w:val="1"/>
          <w:numId w:val="1"/>
        </w:numPr>
        <w:ind w:hanging="0" w:left="0"/>
        <w:rPr/>
      </w:pPr>
      <w:bookmarkStart w:id="59" w:name="_Toc519864779"/>
      <w:bookmarkStart w:id="60" w:name="_Toc94777004"/>
      <w:r>
        <w:rPr/>
        <w:t>VALUTA PONUDE</w:t>
      </w:r>
      <w:bookmarkEnd w:id="59"/>
      <w:bookmarkEnd w:id="60"/>
    </w:p>
    <w:p>
      <w:pPr>
        <w:pStyle w:val="Normal"/>
        <w:rPr>
          <w:rFonts w:cs="Calibri" w:cstheme="minorHAnsi"/>
        </w:rPr>
      </w:pPr>
      <w:r>
        <w:rPr>
          <w:rFonts w:cs="Calibri" w:cstheme="minorHAnsi"/>
        </w:rPr>
        <w:t>Cijena ponude mora biti izražena u eurima (EUR).</w:t>
      </w:r>
    </w:p>
    <w:p>
      <w:pPr>
        <w:pStyle w:val="Heading3"/>
        <w:numPr>
          <w:ilvl w:val="1"/>
          <w:numId w:val="1"/>
        </w:numPr>
        <w:ind w:hanging="0" w:left="0"/>
        <w:rPr/>
      </w:pPr>
      <w:bookmarkStart w:id="61" w:name="_Toc94777005"/>
      <w:r>
        <w:rPr/>
        <w:t>KRITERIJ ZA ODABIR PONUDE</w:t>
      </w:r>
      <w:bookmarkEnd w:id="61"/>
    </w:p>
    <w:p>
      <w:pPr>
        <w:pStyle w:val="Normal"/>
        <w:rPr>
          <w:rFonts w:cs="Calibri" w:cstheme="minorHAnsi"/>
          <w:bCs/>
        </w:rPr>
      </w:pPr>
      <w:r>
        <w:rPr>
          <w:rFonts w:cs="Calibri" w:cstheme="minorHAnsi"/>
          <w:bCs/>
        </w:rPr>
        <w:t>Kriterij odabira ponude je</w:t>
      </w:r>
      <w:r>
        <w:rPr>
          <w:rFonts w:cs="Calibri" w:cstheme="minorHAnsi"/>
          <w:b/>
          <w:bCs/>
        </w:rPr>
        <w:t xml:space="preserve"> najniža cijena</w:t>
      </w:r>
      <w:r>
        <w:rPr>
          <w:rFonts w:cs="Calibri" w:cstheme="minorHAnsi"/>
          <w:bCs/>
        </w:rPr>
        <w:t xml:space="preserve">. </w:t>
      </w:r>
    </w:p>
    <w:p>
      <w:pPr>
        <w:pStyle w:val="Normal"/>
        <w:rPr>
          <w:rFonts w:cs="Calibri" w:cstheme="minorHAnsi"/>
          <w:bCs/>
        </w:rPr>
      </w:pPr>
      <w:r>
        <w:rPr>
          <w:rFonts w:cs="Calibri" w:cstheme="minorHAnsi"/>
          <w:bCs/>
        </w:rPr>
        <w:t>S obzirom na to da Naručitelj ne može koristiti pravo na pretporez, Naručitelj će uspoređivati cijene ponuda s PDV-om.</w:t>
      </w:r>
    </w:p>
    <w:p>
      <w:pPr>
        <w:pStyle w:val="Heading3"/>
        <w:numPr>
          <w:ilvl w:val="1"/>
          <w:numId w:val="1"/>
        </w:numPr>
        <w:ind w:hanging="0" w:left="0"/>
        <w:rPr/>
      </w:pPr>
      <w:bookmarkStart w:id="62" w:name="_Toc94777006"/>
      <w:r>
        <w:rPr/>
        <w:t>JEZIK I PISMO PONUDE</w:t>
      </w:r>
      <w:bookmarkEnd w:id="62"/>
    </w:p>
    <w:p>
      <w:pPr>
        <w:pStyle w:val="Normal"/>
        <w:rPr>
          <w:rFonts w:cs="Calibri" w:cstheme="minorHAnsi"/>
        </w:rPr>
      </w:pPr>
      <w:r>
        <w:rPr>
          <w:rFonts w:cs="Calibri" w:cstheme="minorHAnsi"/>
        </w:rPr>
        <w:t xml:space="preserve">Ponuda se zajedno s pripadajućom dokumentacijom izrađuje na hrvatskom jeziku i latiničnom pismu. </w:t>
      </w:r>
    </w:p>
    <w:p>
      <w:pPr>
        <w:pStyle w:val="Normal"/>
        <w:rPr>
          <w:rFonts w:cs="Calibri" w:cstheme="minorHAnsi"/>
        </w:rPr>
      </w:pPr>
      <w:r>
        <w:rPr>
          <w:rFonts w:cs="Calibri" w:cstheme="minorHAnsi"/>
        </w:rPr>
        <w:t xml:space="preserve">Ukoliko je neki od dokumenata ponuditelja izdan na stranom jeziku, a Pozivom na dostavu ponuda nije drukčije određeno, ponuditelj ga mora dostaviti zajedno s prijevodom na hrvatski jezik. </w:t>
      </w:r>
    </w:p>
    <w:p>
      <w:pPr>
        <w:pStyle w:val="Normal"/>
        <w:rPr>
          <w:rFonts w:cs="Calibri" w:cstheme="minorHAnsi"/>
        </w:rPr>
      </w:pPr>
      <w:r>
        <w:rPr>
          <w:rFonts w:cs="Calibri" w:cstheme="minorHAnsi"/>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pPr>
        <w:pStyle w:val="Heading3"/>
        <w:numPr>
          <w:ilvl w:val="1"/>
          <w:numId w:val="1"/>
        </w:numPr>
        <w:ind w:hanging="0" w:left="0"/>
        <w:rPr/>
      </w:pPr>
      <w:bookmarkStart w:id="63" w:name="_Toc94777007"/>
      <w:r>
        <w:rPr/>
        <w:t>ROK VALJANOSTI PONUDE</w:t>
      </w:r>
      <w:bookmarkEnd w:id="63"/>
    </w:p>
    <w:p>
      <w:pPr>
        <w:pStyle w:val="Default"/>
        <w:spacing w:before="0" w:after="120"/>
        <w:jc w:val="both"/>
        <w:rPr>
          <w:rFonts w:ascii="Calibri" w:hAnsi="Calibri" w:cs="Calibri" w:asciiTheme="minorHAnsi" w:cstheme="minorHAnsi" w:hAnsiTheme="minorHAnsi"/>
          <w:color w:val="auto"/>
          <w:sz w:val="22"/>
          <w:szCs w:val="22"/>
        </w:rPr>
      </w:pPr>
      <w:r>
        <w:rPr>
          <w:rFonts w:cs="Calibri" w:cstheme="minorHAnsi"/>
          <w:color w:val="auto"/>
          <w:sz w:val="22"/>
          <w:szCs w:val="22"/>
        </w:rPr>
        <w:t xml:space="preserve">Rok valjanosti ponude mora biti naveden u ponudi i mora biti najmanje </w:t>
      </w:r>
      <w:r>
        <w:rPr>
          <w:rFonts w:cs="Calibri" w:cstheme="minorHAnsi"/>
          <w:b/>
          <w:bCs/>
          <w:color w:val="auto"/>
          <w:sz w:val="22"/>
          <w:szCs w:val="22"/>
        </w:rPr>
        <w:t>60 (šezdeset) dana</w:t>
      </w:r>
      <w:r>
        <w:rPr>
          <w:rFonts w:cs="Calibri" w:cstheme="minorHAnsi"/>
          <w:color w:val="auto"/>
          <w:sz w:val="22"/>
          <w:szCs w:val="22"/>
        </w:rPr>
        <w:t xml:space="preserve"> od dana određenog za dostavu ponuda.</w:t>
      </w:r>
    </w:p>
    <w:p>
      <w:pPr>
        <w:pStyle w:val="Default"/>
        <w:spacing w:before="0" w:after="120"/>
        <w:jc w:val="both"/>
        <w:rPr>
          <w:rFonts w:ascii="Calibri" w:hAnsi="Calibri" w:cs="Calibri" w:asciiTheme="minorHAnsi" w:cstheme="minorHAnsi" w:hAnsiTheme="minorHAnsi"/>
          <w:color w:val="auto"/>
          <w:sz w:val="22"/>
          <w:szCs w:val="22"/>
        </w:rPr>
      </w:pPr>
      <w:r>
        <w:rPr>
          <w:rFonts w:cs="Calibri" w:cstheme="minorHAnsi"/>
          <w:color w:val="auto"/>
          <w:sz w:val="22"/>
          <w:szCs w:val="22"/>
        </w:rPr>
        <w:t xml:space="preserve">Ponuda obvezuje ponuditelja do isteka roka valjanosti ponude, a na zahtjev Naručitelja ponuditelj može produžiti rok valjanosti svoje ponude. </w:t>
      </w:r>
    </w:p>
    <w:p>
      <w:pPr>
        <w:pStyle w:val="Default"/>
        <w:spacing w:before="0" w:after="120"/>
        <w:jc w:val="both"/>
        <w:rPr>
          <w:rFonts w:ascii="Calibri" w:hAnsi="Calibri" w:cs="Calibri" w:asciiTheme="minorHAnsi" w:cstheme="minorHAnsi" w:hAnsiTheme="minorHAnsi"/>
          <w:color w:val="auto"/>
          <w:sz w:val="22"/>
          <w:szCs w:val="22"/>
        </w:rPr>
      </w:pPr>
      <w:r>
        <w:rPr>
          <w:rFonts w:cs="Calibr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pPr>
        <w:pStyle w:val="Heading3"/>
        <w:numPr>
          <w:ilvl w:val="1"/>
          <w:numId w:val="1"/>
        </w:numPr>
        <w:ind w:hanging="0" w:left="0"/>
        <w:rPr/>
      </w:pPr>
      <w:r>
        <w:rPr/>
        <w:t>ROK ZA DOSTAVU PONUDE</w:t>
      </w:r>
    </w:p>
    <w:p>
      <w:pPr>
        <w:pStyle w:val="Normal"/>
        <w:rPr/>
      </w:pPr>
      <w:r>
        <w:rPr/>
        <w:t xml:space="preserve">Rok za dostavu ponude je </w:t>
      </w:r>
      <w:r>
        <w:rPr>
          <w:b/>
          <w:bCs/>
          <w:strike/>
        </w:rPr>
        <w:t>25. studenog 2025. godine do 10:00 sati</w:t>
      </w:r>
      <w:r>
        <w:rPr/>
        <w:t xml:space="preserve"> </w:t>
      </w:r>
      <w:r>
        <w:rPr>
          <w:color w:val="C9211E"/>
        </w:rPr>
        <w:t xml:space="preserve">02. prosinca 2025. </w:t>
      </w:r>
      <w:r>
        <w:rPr>
          <w:color w:val="C9211E"/>
        </w:rPr>
        <w:t>do 12 h</w:t>
      </w:r>
      <w:r>
        <w:rPr>
          <w:color w:val="C9211E"/>
        </w:rPr>
        <w:t xml:space="preserve"> </w:t>
      </w:r>
      <w:r>
        <w:rPr/>
        <w:t>prema srednjoeuropskom vremenu putem web aplikacije Naručitelja, sukladno točki 5.2. ovog Poziva.</w:t>
      </w:r>
    </w:p>
    <w:p>
      <w:pPr>
        <w:pStyle w:val="Heading3"/>
        <w:numPr>
          <w:ilvl w:val="1"/>
          <w:numId w:val="1"/>
        </w:numPr>
        <w:ind w:hanging="0" w:left="0"/>
        <w:rPr/>
      </w:pPr>
      <w:r>
        <w:rPr/>
        <w:t>PREGLED I OCJENA PONUDA</w:t>
      </w:r>
    </w:p>
    <w:p>
      <w:pPr>
        <w:pStyle w:val="Normal"/>
        <w:rPr/>
      </w:pPr>
      <w:r>
        <w:rPr/>
        <w:t>Nakon otvaranja ponuda Naručitelj pregledava i ocjenjuje ponude na temelju uvjeta i zahtjeva iz ovog Poziva na dostavu ponuda te o tome sastavlja zapisnik. Postupak pregleda i ocjene ponuda tajan je do donošenja odluke Naručitelja.</w:t>
      </w:r>
    </w:p>
    <w:p>
      <w:pPr>
        <w:pStyle w:val="Normal"/>
        <w:rPr/>
      </w:pPr>
      <w:r>
        <w:rPr/>
        <w:t>Ukoliko u postupku pregleda i ocjene ponuda povjerenstvo u ponudi uoči nejasnoće ili nedostatke za koje smatra da su otklonjivi, može pozvati ponuditelja da pojasni ponudu ili ukloni nedostatke.</w:t>
      </w:r>
    </w:p>
    <w:p>
      <w:pPr>
        <w:pStyle w:val="Normal"/>
        <w:rPr/>
      </w:pPr>
      <w:r>
        <w:rPr/>
        <w:t>Za dostavu pojašnjenja i uklanjanje nedostataka se daje primjereni rok koji ne može biti kraći od 3 (tri) dana.</w:t>
      </w:r>
    </w:p>
    <w:p>
      <w:pPr>
        <w:pStyle w:val="Heading1"/>
        <w:numPr>
          <w:ilvl w:val="0"/>
          <w:numId w:val="1"/>
        </w:numPr>
        <w:ind w:hanging="360" w:left="360"/>
        <w:rPr/>
      </w:pPr>
      <w:bookmarkStart w:id="64" w:name="_Toc94777009"/>
      <w:bookmarkStart w:id="65" w:name="_Toc112177953"/>
      <w:r>
        <w:rPr/>
        <w:t>OSTALE ODREDBE</w:t>
      </w:r>
      <w:bookmarkEnd w:id="64"/>
      <w:bookmarkEnd w:id="65"/>
    </w:p>
    <w:p>
      <w:pPr>
        <w:pStyle w:val="Heading3"/>
        <w:numPr>
          <w:ilvl w:val="1"/>
          <w:numId w:val="1"/>
        </w:numPr>
        <w:ind w:hanging="0" w:left="0"/>
        <w:rPr/>
      </w:pPr>
      <w:r>
        <w:rPr/>
        <w:t>POSEBNI UVJETI ZA IZVRŠENJE UGOVORA I DRUGI PODACI KOJE NARUČITELJ SMATRA POTREBNIM</w:t>
      </w:r>
    </w:p>
    <w:p>
      <w:pPr>
        <w:pStyle w:val="Normal"/>
        <w:rPr/>
      </w:pPr>
      <w:r>
        <w:rPr/>
        <w:t>Na odgovornost ugovornih strana za ispunjenje obveza iz ugovora na odgovarajući način primjenjuju se odredbe zakona kojim se uređuju obvezni odnosi.</w:t>
      </w:r>
    </w:p>
    <w:p>
      <w:pPr>
        <w:pStyle w:val="Normal"/>
        <w:rPr/>
      </w:pPr>
      <w:r>
        <w:rPr/>
        <w:t>Ako ugovaratelj ne izvrši obveze u ugovorenim rokovima, dužan je Naručitelju platiti ugovornu kaznu u iznosu 0,5 % od ukupno ugovorene vrijednosti za svaki dan zakašnjenja te nadoknaditi Naručitelju sve eventualne troškove i štetu koja bi iz toga proizašla.</w:t>
      </w:r>
    </w:p>
    <w:p>
      <w:pPr>
        <w:pStyle w:val="Normal"/>
        <w:rPr/>
      </w:pPr>
      <w:r>
        <w:rPr/>
        <w:t xml:space="preserve">Ukupni iznos ugovorne kazne ne može biti veći od 10 % od ukupno ugovorene vrijednosti (bez PDV-a). </w:t>
      </w:r>
    </w:p>
    <w:p>
      <w:pPr>
        <w:pStyle w:val="Normal"/>
        <w:rPr/>
      </w:pPr>
      <w:r>
        <w:rPr/>
        <w:t>Naručitelj ima pravo na ugovornu kaznu u slučaju da ugovaratelj ne ispuni bilo koju svoju ugovornu obvezu, ili ako zakasni s njezinim ispunjenjem ili ako je neuredno ispuni.</w:t>
      </w:r>
    </w:p>
    <w:p>
      <w:pPr>
        <w:pStyle w:val="Normal"/>
        <w:rPr/>
      </w:pPr>
      <w:r>
        <w:rPr/>
        <w:t>Naručitelj zadržava pravo na ugovornu kaznu i u slučaju primitka zakašnjelog ispunjenja ugovorne obveze.</w:t>
      </w:r>
    </w:p>
    <w:p>
      <w:pPr>
        <w:pStyle w:val="Normal"/>
        <w:rPr/>
      </w:pPr>
      <w:r>
        <w:rPr/>
        <w:t>Naručitelj ima pravo iznos ugovorne kazne odbiti od eRačuna dostavljenog od strane odabranog ponuditelja.</w:t>
      </w:r>
    </w:p>
    <w:p>
      <w:pPr>
        <w:pStyle w:val="Normal"/>
        <w:rPr/>
      </w:pPr>
      <w:r>
        <w:rPr/>
        <w:t xml:space="preserve">Pravo na ugovornu kaznu ne umanjuje niti isključuje pravo Naručitelja na naknadu eventualne štete preko iznosa ugovorne kazne. </w:t>
      </w:r>
    </w:p>
    <w:p>
      <w:pPr>
        <w:pStyle w:val="Normal"/>
        <w:rPr/>
      </w:pPr>
      <w:r>
        <w:rPr/>
        <w:t>Odredbe o ugovornoj kazni neće se primjenjivati, ako je ugovoreni rok prekoračen uslijed više sile ili krivnjom trećih osoba, a što ugovaratelj mora dokazati.</w:t>
      </w:r>
    </w:p>
    <w:p>
      <w:pPr>
        <w:pStyle w:val="Normal"/>
        <w:rPr/>
      </w:pPr>
      <w:r>
        <w:rPr/>
        <w:t>Plaćanje ugovorne kazne ne oslobađa ugovaratelja obveze izvršenja predmeta nabave.</w:t>
      </w:r>
    </w:p>
    <w:p>
      <w:pPr>
        <w:pStyle w:val="Normal"/>
        <w:rPr/>
      </w:pPr>
      <w:r>
        <w:rPr/>
        <w:t>Ponuditelj se obvezuje  isporučivati ugovorenu robu prema traženoj kvaliteti te u potpunosti poštivati pozitivne propise Republike Hrvatske koji se odnose na stavljanje u promet ugovorene robe koja je predmet ovog javnog nadmetanja.</w:t>
      </w:r>
    </w:p>
    <w:p>
      <w:pPr>
        <w:pStyle w:val="Heading3"/>
        <w:numPr>
          <w:ilvl w:val="1"/>
          <w:numId w:val="1"/>
        </w:numPr>
        <w:ind w:hanging="0" w:left="0"/>
        <w:rPr/>
      </w:pPr>
      <w:bookmarkStart w:id="66" w:name="_Toc519864789"/>
      <w:bookmarkStart w:id="67" w:name="_Toc94777011"/>
      <w:bookmarkStart w:id="68" w:name="_Toc507087545"/>
      <w:bookmarkStart w:id="69" w:name="_Toc507087724"/>
      <w:bookmarkStart w:id="70" w:name="_Toc508571439"/>
      <w:bookmarkStart w:id="71" w:name="_Toc508582314"/>
      <w:bookmarkEnd w:id="68"/>
      <w:bookmarkEnd w:id="69"/>
      <w:bookmarkEnd w:id="70"/>
      <w:bookmarkEnd w:id="71"/>
      <w:r>
        <w:rPr/>
        <w:t>ODREDBE KOJE SE ODNOSE ZA ZAJEDNICU GOSPODARSKIH SUBJEKATA</w:t>
      </w:r>
      <w:bookmarkEnd w:id="66"/>
      <w:bookmarkEnd w:id="67"/>
    </w:p>
    <w:p>
      <w:pPr>
        <w:pStyle w:val="Normal"/>
        <w:rPr>
          <w:rFonts w:cs="Calibri" w:cstheme="minorHAnsi"/>
        </w:rPr>
      </w:pPr>
      <w:r>
        <w:rPr>
          <w:rFonts w:cs="Calibri"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pPr>
        <w:pStyle w:val="Normal"/>
        <w:rPr>
          <w:rFonts w:cs="Calibri" w:cstheme="minorHAnsi"/>
        </w:rPr>
      </w:pPr>
      <w:r>
        <w:rPr>
          <w:rFonts w:cs="Calibri" w:cstheme="minorHAnsi"/>
        </w:rPr>
        <w:t xml:space="preserve">Naručitelj ne zahtijeva od zajednice gospodarskih subjekata određeni pravni oblik u trenutku dostave ponude, ali će zahtijevati da ista ima određeni pravni oblik nakon sklapanja ugovora. </w:t>
      </w:r>
    </w:p>
    <w:p>
      <w:pPr>
        <w:pStyle w:val="Normal"/>
        <w:rPr>
          <w:rFonts w:cs="Calibri" w:cstheme="minorHAnsi"/>
        </w:rPr>
      </w:pPr>
      <w:r>
        <w:rPr>
          <w:rFonts w:cs="Calibri" w:cstheme="minorHAnsi"/>
        </w:rPr>
        <w:t>Ponuda zajednice gospodarskih subjekata mora sadržavati podatke o svakom članu zajednice ponuditelja, kako je određeno u ponudbenom listu, uz obveznu naznaku člana zajednice gospodarskih subjekata koji je voditelj zajednice, te koji je ovlašten za komunikaciju s Naručiteljem.</w:t>
      </w:r>
    </w:p>
    <w:p>
      <w:pPr>
        <w:pStyle w:val="Normal"/>
        <w:rPr>
          <w:rFonts w:cs="Calibri" w:cstheme="minorHAnsi"/>
        </w:rPr>
      </w:pPr>
      <w:r>
        <w:rPr>
          <w:rFonts w:cs="Calibri" w:cstheme="minorHAnsi"/>
        </w:rPr>
        <w:t xml:space="preserve">Naručitelj neposredno plaća svakom članu zajednice gospodarskih subjekata za onaj dio ugovora o nabavi koji je on izvršio, ako zajednica ponuditelja ne odredi drugačije. </w:t>
      </w:r>
    </w:p>
    <w:p>
      <w:pPr>
        <w:pStyle w:val="Normal"/>
        <w:rPr>
          <w:rFonts w:cs="Calibri" w:cstheme="minorHAnsi"/>
        </w:rPr>
      </w:pPr>
      <w:r>
        <w:rPr>
          <w:rFonts w:cs="Calibri" w:cstheme="minorHAnsi"/>
        </w:rPr>
        <w:t>U ponudi zajednice gospodarskih subjekata mora biti navedeno koji će dio ugovora o nabavi (predmet, količina, vrijednost i postotni dio) izvršavati pojedini član zajednice gospodarskih subjekata.</w:t>
      </w:r>
    </w:p>
    <w:p>
      <w:pPr>
        <w:pStyle w:val="Heading3"/>
        <w:numPr>
          <w:ilvl w:val="1"/>
          <w:numId w:val="1"/>
        </w:numPr>
        <w:ind w:hanging="0" w:left="0"/>
        <w:rPr/>
      </w:pPr>
      <w:bookmarkStart w:id="72" w:name="_Toc94777012"/>
      <w:r>
        <w:rPr/>
        <w:t>ODREDBE KOJE SE ODNOSE NA PODUGOVARATELJE</w:t>
      </w:r>
      <w:bookmarkEnd w:id="72"/>
    </w:p>
    <w:p>
      <w:pPr>
        <w:pStyle w:val="Normal"/>
        <w:rPr>
          <w:rFonts w:cs="Calibri" w:cstheme="minorHAnsi"/>
        </w:rPr>
      </w:pPr>
      <w:r>
        <w:rPr>
          <w:rFonts w:cs="Calibri" w:cstheme="minorHAnsi"/>
        </w:rPr>
        <w:t>Naručitelj ne smije zahtijevati od gospodarskih subjekata da dio ugovora o nabavi daju u podugovor ili da angažiraju određene podugovaratelje niti ih u tome ograničavati, osim ako posebnim propisom ili međunarodnim sporazumom nije drukčije određeno.</w:t>
      </w:r>
    </w:p>
    <w:p>
      <w:pPr>
        <w:pStyle w:val="Normal"/>
        <w:spacing w:before="0" w:after="60"/>
        <w:rPr>
          <w:rFonts w:cs="Calibri" w:cstheme="minorHAnsi"/>
        </w:rPr>
      </w:pPr>
      <w:r>
        <w:rPr>
          <w:rFonts w:cs="Calibri" w:cstheme="minorHAnsi"/>
        </w:rPr>
        <w:t>Gospodarski subjekt koji namjerava dati dio ugovora o nabavi u podugovor obvezan je u</w:t>
        <w:br/>
        <w:t>ponudi:</w:t>
      </w:r>
    </w:p>
    <w:p>
      <w:pPr>
        <w:pStyle w:val="ListParagraph"/>
        <w:numPr>
          <w:ilvl w:val="0"/>
          <w:numId w:val="3"/>
        </w:numPr>
        <w:spacing w:before="0" w:after="60"/>
        <w:rPr>
          <w:rFonts w:cs="Calibri" w:cstheme="minorHAnsi"/>
        </w:rPr>
      </w:pPr>
      <w:bookmarkStart w:id="73" w:name="_Toc111295695"/>
      <w:bookmarkStart w:id="74" w:name="_Toc128668563"/>
      <w:r>
        <w:rPr>
          <w:rFonts w:cs="Calibri" w:cstheme="minorHAnsi"/>
        </w:rPr>
        <w:t>navesti koji dio ugovora namjerava dati u podugovor (predmet ili količina, vrijednost ili</w:t>
        <w:br/>
        <w:t>postotni udio),</w:t>
      </w:r>
      <w:bookmarkEnd w:id="73"/>
      <w:bookmarkEnd w:id="74"/>
    </w:p>
    <w:p>
      <w:pPr>
        <w:pStyle w:val="ListParagraph"/>
        <w:numPr>
          <w:ilvl w:val="0"/>
          <w:numId w:val="3"/>
        </w:numPr>
        <w:spacing w:before="0" w:after="60"/>
        <w:rPr>
          <w:rFonts w:cs="Calibri" w:cstheme="minorHAnsi"/>
        </w:rPr>
      </w:pPr>
      <w:bookmarkStart w:id="75" w:name="_Toc111295696"/>
      <w:bookmarkStart w:id="76" w:name="_Toc128668564"/>
      <w:r>
        <w:rPr>
          <w:rFonts w:cs="Calibri" w:cstheme="minorHAnsi"/>
        </w:rPr>
        <w:t>navesti podatke o podugovarateljima (naziv ili tvrtka, sjedište, OIB ili nacionalni</w:t>
        <w:br/>
        <w:t>identifikacijski broj, broj računa, zakonski zastupnici podugovaratelja),</w:t>
      </w:r>
      <w:bookmarkEnd w:id="75"/>
      <w:bookmarkEnd w:id="76"/>
    </w:p>
    <w:p>
      <w:pPr>
        <w:pStyle w:val="Normal"/>
        <w:spacing w:before="0" w:after="0"/>
        <w:rPr>
          <w:rFonts w:cs="Calibri" w:cstheme="minorHAnsi"/>
        </w:rPr>
      </w:pPr>
      <w:r>
        <w:rPr>
          <w:rFonts w:cs="Calibri" w:cstheme="minorHAnsi"/>
        </w:rPr>
        <w:t>Traženi podaci o podugovoratelju/ima (iz podtočaka 1. i 2. ove točke Poziva na dostavu ponuda) će biti obvezni sastojci ugovora o nabavi.</w:t>
      </w:r>
    </w:p>
    <w:p>
      <w:pPr>
        <w:pStyle w:val="Normal"/>
        <w:rPr>
          <w:rFonts w:cs="Calibri" w:cstheme="minorHAnsi"/>
          <w:b/>
          <w:bCs/>
        </w:rPr>
      </w:pPr>
      <w:r>
        <w:rPr>
          <w:rFonts w:cs="Calibri" w:cstheme="minorHAnsi"/>
        </w:rPr>
        <w:br/>
      </w:r>
      <w:r>
        <w:rPr>
          <w:rFonts w:cs="Calibri" w:cstheme="minorHAnsi"/>
          <w:b/>
          <w:bCs/>
        </w:rPr>
        <w:t>Ponuditelj je obvezan za svakog podugovaratelja dokazati da ne postoje razlozi za isključenje iz</w:t>
        <w:br/>
        <w:t>točke 3. Poziva na dostavu ponuda.</w:t>
      </w:r>
    </w:p>
    <w:p>
      <w:pPr>
        <w:pStyle w:val="Normal"/>
        <w:rPr>
          <w:rFonts w:cs="Calibri" w:cstheme="minorHAnsi"/>
        </w:rPr>
      </w:pPr>
      <w:r>
        <w:rPr>
          <w:rFonts w:cs="Calibri" w:cstheme="minorHAnsi"/>
        </w:rPr>
        <w:t>Sudjelovanje podugovaratelja ne utječe na odgovornost ugovaratelja za izvršenje ugovora o nabavi.</w:t>
      </w:r>
    </w:p>
    <w:p>
      <w:pPr>
        <w:pStyle w:val="Normal"/>
        <w:spacing w:before="0" w:after="60"/>
        <w:rPr>
          <w:rFonts w:cs="Calibri" w:cstheme="minorHAnsi"/>
        </w:rPr>
      </w:pPr>
      <w:r>
        <w:rPr>
          <w:rFonts w:cs="Calibri" w:cstheme="minorHAnsi"/>
        </w:rPr>
        <w:t>Ugovaratelj može tijekom izvršenja ugovora o nabavi od Naručitelja zahtijevati:</w:t>
      </w:r>
    </w:p>
    <w:p>
      <w:pPr>
        <w:pStyle w:val="ListParagraph"/>
        <w:numPr>
          <w:ilvl w:val="0"/>
          <w:numId w:val="4"/>
        </w:numPr>
        <w:spacing w:before="0" w:after="60"/>
        <w:ind w:hanging="294" w:left="284"/>
        <w:rPr>
          <w:rFonts w:cs="Calibri" w:cstheme="minorHAnsi"/>
        </w:rPr>
      </w:pPr>
      <w:bookmarkStart w:id="77" w:name="_Toc111295698"/>
      <w:bookmarkStart w:id="78" w:name="_Toc128668566"/>
      <w:r>
        <w:rPr>
          <w:rFonts w:cs="Calibri" w:cstheme="minorHAnsi"/>
        </w:rPr>
        <w:t>promjenu podugovaratelja za onaj dio ugovora o nabavi koji je prethodno dao u</w:t>
        <w:br/>
        <w:t>podugovor,</w:t>
      </w:r>
      <w:bookmarkEnd w:id="77"/>
      <w:bookmarkEnd w:id="78"/>
    </w:p>
    <w:p>
      <w:pPr>
        <w:pStyle w:val="ListParagraph"/>
        <w:numPr>
          <w:ilvl w:val="0"/>
          <w:numId w:val="4"/>
        </w:numPr>
        <w:spacing w:before="0" w:after="60"/>
        <w:ind w:hanging="294" w:left="284"/>
        <w:rPr>
          <w:rFonts w:cs="Calibri" w:cstheme="minorHAnsi"/>
        </w:rPr>
      </w:pPr>
      <w:bookmarkStart w:id="79" w:name="_Toc111295699"/>
      <w:bookmarkStart w:id="80" w:name="_Toc128668567"/>
      <w:r>
        <w:rPr>
          <w:rFonts w:cs="Calibri" w:cstheme="minorHAnsi"/>
        </w:rPr>
        <w:t>uvođenje jednog ili više novih podugovaratelja čiji ukupni udio ne smije prijeći 30 %</w:t>
        <w:br/>
        <w:t>vrijednosti ugovora o nabavi bez poreza na dodanu vrijednost, neovisno o tome je li</w:t>
        <w:br/>
        <w:t>prethodno dao dio ugovora o nabavi u podugovor ili ne,</w:t>
      </w:r>
      <w:bookmarkEnd w:id="79"/>
      <w:bookmarkEnd w:id="80"/>
    </w:p>
    <w:p>
      <w:pPr>
        <w:pStyle w:val="ListParagraph"/>
        <w:numPr>
          <w:ilvl w:val="0"/>
          <w:numId w:val="4"/>
        </w:numPr>
        <w:spacing w:before="0" w:after="160"/>
        <w:ind w:hanging="294" w:left="284"/>
        <w:rPr>
          <w:rFonts w:cs="Calibri" w:cstheme="minorHAnsi"/>
        </w:rPr>
      </w:pPr>
      <w:bookmarkStart w:id="81" w:name="_Toc111295700"/>
      <w:bookmarkStart w:id="82" w:name="_Toc128668568"/>
      <w:r>
        <w:rPr>
          <w:rFonts w:cs="Calibri" w:cstheme="minorHAnsi"/>
        </w:rPr>
        <w:t>preuzimanje izvršenja dijela ugovora o nabavi koji je prethodno dao u podugovor.</w:t>
      </w:r>
      <w:bookmarkEnd w:id="81"/>
      <w:bookmarkEnd w:id="82"/>
    </w:p>
    <w:p>
      <w:pPr>
        <w:pStyle w:val="Normal"/>
        <w:spacing w:before="0" w:after="60"/>
        <w:rPr>
          <w:rFonts w:cs="Calibri" w:cstheme="minorHAnsi"/>
        </w:rPr>
      </w:pPr>
      <w:r>
        <w:rPr>
          <w:rFonts w:cs="Calibri" w:cstheme="minorHAnsi"/>
        </w:rPr>
        <w:t>Uz zahtjev, ugovaratelj Naručitelju dostavlja sljedeće podatke i dokumente:</w:t>
      </w:r>
    </w:p>
    <w:p>
      <w:pPr>
        <w:pStyle w:val="Normal"/>
        <w:spacing w:before="0" w:after="60"/>
        <w:rPr>
          <w:rFonts w:cs="Calibri" w:cstheme="minorHAnsi"/>
        </w:rPr>
      </w:pPr>
      <w:r>
        <w:rPr>
          <w:rFonts w:cs="Calibri" w:cstheme="minorHAnsi"/>
        </w:rPr>
        <w:t>1. navesti koji dio ugovora namjerava dati u podugovor (predmet ili količina, vrijednost ili postotni udio),</w:t>
      </w:r>
    </w:p>
    <w:p>
      <w:pPr>
        <w:pStyle w:val="Normal"/>
        <w:spacing w:before="0" w:after="60"/>
        <w:rPr>
          <w:rFonts w:cs="Calibri" w:cstheme="minorHAnsi"/>
        </w:rPr>
      </w:pPr>
      <w:r>
        <w:rPr>
          <w:rFonts w:cs="Calibri" w:cstheme="minorHAnsi"/>
        </w:rPr>
        <w:t>2. navesti podatke o podugovarateljima (naziv ili tvrtka, sjedište, OIB ili nacionalni identifikacijski broj, broj računa, zakonski zastupnici podugovaratelja),</w:t>
      </w:r>
    </w:p>
    <w:p>
      <w:pPr>
        <w:pStyle w:val="Normal"/>
        <w:rPr>
          <w:rFonts w:cs="Calibri" w:cstheme="minorHAnsi"/>
        </w:rPr>
      </w:pPr>
      <w:r>
        <w:rPr>
          <w:rFonts w:cs="Calibri" w:cstheme="minorHAnsi"/>
        </w:rPr>
        <w:t xml:space="preserve">3. dostaviti </w:t>
      </w:r>
      <w:bookmarkStart w:id="83" w:name="_Hlk94784757"/>
      <w:r>
        <w:rPr>
          <w:rFonts w:cs="Calibri" w:cstheme="minorHAnsi"/>
        </w:rPr>
        <w:t>preostalu dokumentaciju traženu ovim Pozivom na dostavu ponuda za podugovaratelja.</w:t>
      </w:r>
      <w:bookmarkEnd w:id="83"/>
    </w:p>
    <w:p>
      <w:pPr>
        <w:pStyle w:val="Normal"/>
        <w:rPr>
          <w:rFonts w:cs="Calibri" w:cstheme="minorHAnsi"/>
        </w:rPr>
      </w:pPr>
      <w:r>
        <w:rPr>
          <w:rFonts w:cs="Calibri" w:cstheme="minorHAnsi"/>
        </w:rPr>
        <w:t xml:space="preserve">Ako je gospodarski subjekt dio ugovora o nabavi dao u podugovor, podaci iz ove točke Poziva na dostavu ponuda moraju biti navedeni u ugovoru o nabavi. </w:t>
      </w:r>
    </w:p>
    <w:p>
      <w:pPr>
        <w:pStyle w:val="Normal"/>
        <w:spacing w:before="0" w:after="60"/>
        <w:rPr>
          <w:rFonts w:cs="Calibri" w:cstheme="minorHAnsi"/>
        </w:rPr>
      </w:pPr>
      <w:r>
        <w:rPr>
          <w:rFonts w:cs="Calibri" w:cstheme="minorHAnsi"/>
        </w:rPr>
        <w:t>Naručitelj ne smije odobriti zahtjev ugovaratelja:</w:t>
      </w:r>
    </w:p>
    <w:p>
      <w:pPr>
        <w:pStyle w:val="Normal"/>
        <w:numPr>
          <w:ilvl w:val="0"/>
          <w:numId w:val="2"/>
        </w:numPr>
        <w:spacing w:before="0" w:after="60"/>
        <w:ind w:hanging="283" w:left="284"/>
        <w:rPr>
          <w:rFonts w:cs="Calibri" w:cstheme="minorHAnsi"/>
        </w:rPr>
      </w:pPr>
      <w:bookmarkStart w:id="84" w:name="_Hlk94784788"/>
      <w:bookmarkEnd w:id="84"/>
      <w:r>
        <w:rPr>
          <w:rFonts w:cs="Calibri" w:cstheme="minorHAnsi"/>
        </w:rPr>
        <w:t>u slučaju zahtjeva za promjenom podugovaratelja za onaj dio ugovora koji je prethodno dao u podugovor i u slučaju zahtjeva za uvođenje jednog ili više novih podugovaratelja čiji ukupni udio ne smije prijeći 30 % vrijednosti ugovora o nabavi bez PDV-a, neovisno o tome je li prethodno dao dio ugovora o nabavi u podugovor ili ne, ako se ugovaratelj u postupku nabave radi dokazivanja ispunjenja kriterija za odabir gospodarskog subjekta oslonio na sposobnost podugovaratelja kojeg sada mijenja, a novi podugovaratelj ne ispunjava iste uvjete, ili postoje osnove za isključenje,</w:t>
      </w:r>
    </w:p>
    <w:p>
      <w:pPr>
        <w:pStyle w:val="Normal"/>
        <w:numPr>
          <w:ilvl w:val="0"/>
          <w:numId w:val="2"/>
        </w:numPr>
        <w:spacing w:before="0" w:after="0"/>
        <w:ind w:hanging="283" w:left="284"/>
        <w:rPr>
          <w:rFonts w:cs="Calibri" w:cstheme="minorHAnsi"/>
        </w:rPr>
      </w:pPr>
      <w:r>
        <w:rPr>
          <w:rFonts w:cs="Calibri" w:cstheme="minorHAnsi"/>
        </w:rPr>
        <w:t>u slučaju preuzimanja izvršenja dijela ugovora o nabavi koji je prethodno dao u</w:t>
        <w:br/>
        <w:t>podugovor, ako se ugovaratelj u postupku nabave radi dokazivanja ispunjenja kriterija za odabir gospodarskog subjekta oslonio na sposobnost podugovaratelja za izvršenje tog dijela, a ugovaratelj samostalno ne posjeduje takvu sposobnost, ili ako je taj dio ugovora već izvršen.</w:t>
      </w:r>
      <w:bookmarkStart w:id="85" w:name="_Hlk153362354"/>
    </w:p>
    <w:p>
      <w:pPr>
        <w:pStyle w:val="Normal"/>
        <w:spacing w:before="0" w:after="0"/>
        <w:ind w:left="284"/>
        <w:rPr>
          <w:rFonts w:cs="Calibri" w:cstheme="minorHAnsi"/>
        </w:rPr>
      </w:pPr>
      <w:r>
        <w:rPr>
          <w:rFonts w:cs="Calibri" w:cstheme="minorHAnsi"/>
        </w:rPr>
      </w:r>
    </w:p>
    <w:p>
      <w:pPr>
        <w:pStyle w:val="Heading3"/>
        <w:numPr>
          <w:ilvl w:val="1"/>
          <w:numId w:val="1"/>
        </w:numPr>
        <w:ind w:hanging="0" w:left="0"/>
        <w:rPr/>
      </w:pPr>
      <w:bookmarkStart w:id="86" w:name="_Toc94777029"/>
      <w:bookmarkStart w:id="87" w:name="_Hlk94784788_Copy_1"/>
      <w:bookmarkEnd w:id="85"/>
      <w:bookmarkEnd w:id="87"/>
      <w:r>
        <w:rPr/>
        <w:t>ROK, NAČIN I UVJETI PLAĆANJA</w:t>
      </w:r>
      <w:bookmarkEnd w:id="86"/>
    </w:p>
    <w:p>
      <w:pPr>
        <w:pStyle w:val="Normal"/>
        <w:rPr/>
      </w:pPr>
      <w:r>
        <w:rPr/>
        <w:t>Predujam je isključen kao i traženje sredstava osiguranja plaćanja.</w:t>
      </w:r>
    </w:p>
    <w:p>
      <w:pPr>
        <w:pStyle w:val="Normal"/>
        <w:rPr/>
      </w:pPr>
      <w:r>
        <w:rPr/>
        <w:t>Naručitelj prihvaća eRačun.</w:t>
      </w:r>
    </w:p>
    <w:p>
      <w:pPr>
        <w:pStyle w:val="Normal"/>
        <w:rPr/>
      </w:pPr>
      <w:r>
        <w:rPr/>
        <w:t>Sukladno Zakonu o elektroničkom izdavanju računa u javnoj nabavi (NN 94/2018), Naručitelj je obvezan zaprimati, obrađivati te izvršiti plaćanje elektroničkih računa i pratećih isprava izdanih sukladno europskoj normi i njezinim ispravcima, izmjenama i dopunama.</w:t>
      </w:r>
    </w:p>
    <w:p>
      <w:pPr>
        <w:pStyle w:val="Normal"/>
        <w:spacing w:lineRule="auto" w:line="254"/>
        <w:rPr>
          <w:rFonts w:ascii="Calibri" w:hAnsi="Calibri" w:eastAsia="DengXian" w:cs="Calibri"/>
          <w:lang w:eastAsia="zh-CN"/>
        </w:rPr>
      </w:pPr>
      <w:r>
        <w:rPr>
          <w:rFonts w:eastAsia="DengXian" w:cs="Calibri"/>
          <w:lang w:eastAsia="zh-CN"/>
        </w:rPr>
        <w:t>Obračun i naplata izvršenih isporuka robe obavit će se nakon potpisom prihvaćenih računa od strane Naručitelja te po uspješno obavljenoj primopredaji, odnosno potpisivanju otpremnice, a sve temeljem jediničnih cijena iz ponudbenog troškovnika i stvarno izvršenih isporuka robe.</w:t>
      </w:r>
    </w:p>
    <w:p>
      <w:pPr>
        <w:pStyle w:val="Normal"/>
        <w:rPr/>
      </w:pPr>
      <w:r>
        <w:rPr/>
        <w:t xml:space="preserve">Račun se ispostavlja nakon uspješne isporuke robe i potpisane otpremnice. </w:t>
      </w:r>
    </w:p>
    <w:p>
      <w:pPr>
        <w:pStyle w:val="Normal"/>
        <w:rPr/>
      </w:pPr>
      <w:r>
        <w:rPr/>
        <w:t>Ponuditelj je dužan Račun nasloviti na: Dom zdravlja Zagreb – Zapad, Prilaz baruna Filipovića 11, Zagreb te na isti naznačiti broj Ugovora i/ili broj narudžbenice.</w:t>
      </w:r>
    </w:p>
    <w:p>
      <w:pPr>
        <w:pStyle w:val="Normal"/>
        <w:rPr/>
      </w:pPr>
      <w:r>
        <w:rPr/>
        <w:t xml:space="preserve">Ponuditelj se obvezuje svom eRačunu priložiti dokaz o izvršenoj isporuci robe, usluga ili radova (ovjerena i potpisana otpremnica/ dostavnica/ radni nalog/ primopredajni zapisnik). </w:t>
      </w:r>
    </w:p>
    <w:p>
      <w:pPr>
        <w:pStyle w:val="Normal"/>
        <w:rPr/>
      </w:pPr>
      <w:r>
        <w:rPr/>
        <w:t>Ponuditelj mora svom računu obvezno priložiti račune svojih podugovaratelja koje je prethodno potvrdio.</w:t>
      </w:r>
    </w:p>
    <w:p>
      <w:pPr>
        <w:pStyle w:val="Normal"/>
        <w:rPr/>
      </w:pPr>
      <w:r>
        <w:rPr/>
        <w:t xml:space="preserve">Naručitelj se obvezuje ovjereni neprijeporni dio računa platiti ponuditelju/članu zajednice gospodarskih subjekata u roku 30 (trideset) dana od dana primitka računa. </w:t>
      </w:r>
    </w:p>
    <w:p>
      <w:pPr>
        <w:pStyle w:val="Normal"/>
        <w:rPr/>
      </w:pPr>
      <w:r>
        <w:rPr/>
        <w:t xml:space="preserve">Naručitelj se obvezuje ovjereni neprijeporni dio računa platiti podugovaratelju, na IBAN naveden u ponudbenom listu, u roku 30 (trideset) dana od dana primitka računa. </w:t>
      </w:r>
    </w:p>
    <w:p>
      <w:pPr>
        <w:pStyle w:val="Heading3"/>
        <w:numPr>
          <w:ilvl w:val="1"/>
          <w:numId w:val="1"/>
        </w:numPr>
        <w:ind w:hanging="0" w:left="0"/>
        <w:rPr/>
      </w:pPr>
      <w:bookmarkStart w:id="88" w:name="_Toc74840190"/>
      <w:bookmarkStart w:id="89" w:name="_Toc131608644"/>
      <w:r>
        <w:rPr/>
        <w:t>ZAVRŠETAK POSTUPKA NABAVE</w:t>
      </w:r>
      <w:bookmarkEnd w:id="88"/>
      <w:bookmarkEnd w:id="89"/>
    </w:p>
    <w:p>
      <w:pPr>
        <w:pStyle w:val="Normal"/>
        <w:rPr>
          <w:rFonts w:ascii="Calibri" w:hAnsi="Calibri" w:cs="Calibri"/>
        </w:rPr>
      </w:pPr>
      <w:r>
        <w:rPr>
          <w:rFonts w:cs="Calibri"/>
        </w:rPr>
        <w:t xml:space="preserve">Postupak nabave završava Odlukom o odabiru ili poništenju. Rok za donošenje Odluke je 30 (trideset) dana od isteka roka za dostavu ponuda. </w:t>
      </w:r>
    </w:p>
    <w:p>
      <w:pPr>
        <w:pStyle w:val="Normal"/>
        <w:rPr>
          <w:rFonts w:ascii="Calibri" w:hAnsi="Calibri" w:cs="Calibri"/>
        </w:rPr>
      </w:pPr>
      <w:r>
        <w:rPr>
          <w:rFonts w:cs="Calibri"/>
        </w:rPr>
        <w:t>Temeljem zapisnika o otvaranju, pregledu i ocjeni ponuda Naručitelj donosi odluku o odabiru ili odluku o poništenju.</w:t>
      </w:r>
    </w:p>
    <w:p>
      <w:pPr>
        <w:pStyle w:val="Normal"/>
        <w:rPr>
          <w:rFonts w:ascii="Calibri" w:hAnsi="Calibri" w:cs="Calibri"/>
        </w:rPr>
      </w:pPr>
      <w:r>
        <w:rPr>
          <w:rFonts w:cs="Calibri"/>
        </w:rPr>
        <w:t xml:space="preserve">Odluka o odabiru ili poništenju se istodobno dostavlja svim ponuditeljima. Sastavni dio Odluke je zapisnik o pregledu i ocjeni ponuda. </w:t>
      </w:r>
    </w:p>
    <w:p>
      <w:pPr>
        <w:pStyle w:val="Normal"/>
        <w:rPr>
          <w:rFonts w:ascii="Calibri" w:hAnsi="Calibri" w:cs="Calibri"/>
        </w:rPr>
      </w:pPr>
      <w:r>
        <w:rPr>
          <w:rFonts w:cs="Calibri"/>
        </w:rPr>
        <w:t>Temeljem odluke o odabiru pristupa se sklapanju Ugovora o nabavi.</w:t>
      </w:r>
    </w:p>
    <w:p>
      <w:pPr>
        <w:pStyle w:val="Heading3"/>
        <w:numPr>
          <w:ilvl w:val="1"/>
          <w:numId w:val="1"/>
        </w:numPr>
        <w:ind w:hanging="0" w:left="0"/>
        <w:rPr/>
      </w:pPr>
      <w:bookmarkStart w:id="90" w:name="_Toc74840191"/>
      <w:bookmarkStart w:id="91" w:name="_Toc131608645"/>
      <w:r>
        <w:rPr/>
        <w:t>SKLAPANJE I IZVRŠENJE UGOVORA O NABAVI</w:t>
      </w:r>
      <w:bookmarkEnd w:id="90"/>
      <w:bookmarkEnd w:id="91"/>
    </w:p>
    <w:p>
      <w:pPr>
        <w:pStyle w:val="Normal"/>
        <w:rPr>
          <w:rFonts w:eastAsia="Calibri"/>
        </w:rPr>
      </w:pPr>
      <w:r>
        <w:rPr>
          <w:rFonts w:eastAsia="Calibri"/>
        </w:rPr>
        <w:t>Odabrani ponuditelj će Ugovor u pisanom obliku sklopiti s Naručiteljem najkasnije u roku od 30 (trideset) dana od dana obavijesti o odabiru.</w:t>
      </w:r>
    </w:p>
    <w:p>
      <w:pPr>
        <w:pStyle w:val="Normal"/>
        <w:rPr>
          <w:rFonts w:eastAsia="Calibri"/>
        </w:rPr>
      </w:pPr>
      <w:r>
        <w:rPr>
          <w:rFonts w:eastAsia="Calibri"/>
        </w:rPr>
        <w:t xml:space="preserve">Ugovor o nabavi mora biti sklopljen u skladu s uvjetima određenima u ovom Pozivu i odabranom ponudom, a ugovorne strane izvršavaju ugovor u skladu s uvjetima određenima u ovom Pozivu i odabranom ponudom. </w:t>
      </w:r>
    </w:p>
    <w:p>
      <w:pPr>
        <w:pStyle w:val="Heading3"/>
        <w:numPr>
          <w:ilvl w:val="1"/>
          <w:numId w:val="1"/>
        </w:numPr>
        <w:ind w:hanging="0" w:left="0"/>
        <w:rPr/>
      </w:pPr>
      <w:bookmarkStart w:id="92" w:name="_Toc131608646"/>
      <w:r>
        <w:rPr/>
        <w:t>UPUTA O PRAVNOM LIJEKU</w:t>
      </w:r>
      <w:bookmarkEnd w:id="92"/>
      <w:r>
        <w:rPr/>
        <w:t xml:space="preserve"> </w:t>
      </w:r>
    </w:p>
    <w:p>
      <w:pPr>
        <w:sectPr>
          <w:footerReference w:type="even" r:id="rId6"/>
          <w:footerReference w:type="default" r:id="rId7"/>
          <w:footerReference w:type="first" r:id="rId8"/>
          <w:type w:val="nextPage"/>
          <w:pgSz w:w="11906" w:h="16838"/>
          <w:pgMar w:left="1418" w:right="1418" w:gutter="0" w:header="0" w:top="1418" w:footer="709" w:bottom="1418"/>
          <w:pgNumType w:fmt="decimal"/>
          <w:formProt w:val="false"/>
          <w:textDirection w:val="lrTb"/>
          <w:docGrid w:type="default" w:linePitch="100" w:charSpace="0"/>
        </w:sectPr>
        <w:pStyle w:val="Normal"/>
        <w:rPr>
          <w:rFonts w:eastAsia="Calibri"/>
        </w:rPr>
      </w:pPr>
      <w:r>
        <w:rPr>
          <w:rFonts w:eastAsia="Calibri"/>
        </w:rPr>
        <w:t>Žalba nije dopuštena u ovom postupku nabave, te ista neće imati pravni učinak na provedbu i ishod postupka ove nabave.</w:t>
      </w:r>
    </w:p>
    <w:p>
      <w:pPr>
        <w:pStyle w:val="Normal"/>
        <w:spacing w:before="0" w:after="0"/>
        <w:rPr>
          <w:rFonts w:ascii="Calibri" w:hAnsi="Calibri" w:eastAsia="Times New Roman" w:cs="Arial"/>
          <w:lang w:val="pl-PL"/>
        </w:rPr>
      </w:pPr>
      <w:r>
        <w:rPr>
          <w:rFonts w:eastAsia="Times New Roman" w:cs="Arial"/>
          <w:lang w:val="pl-PL"/>
        </w:rPr>
      </w:r>
    </w:p>
    <w:sectPr>
      <w:footerReference w:type="even" r:id="rId9"/>
      <w:footerReference w:type="default" r:id="rId10"/>
      <w:footerReference w:type="first" r:id="rId11"/>
      <w:type w:val="nextPage"/>
      <w:pgSz w:w="11906" w:h="16838"/>
      <w:pgMar w:left="1418" w:right="1276" w:gutter="0" w:header="0" w:top="1559" w:footer="93" w:bottom="127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Arial">
    <w:charset w:val="ee"/>
    <w:family w:val="swiss"/>
    <w:pitch w:val="variable"/>
  </w:font>
  <w:font w:name="Calibri Light">
    <w:charset w:val="ee"/>
    <w:family w:val="roman"/>
    <w:pitch w:val="variable"/>
  </w:font>
  <w:font w:name="Tahoma">
    <w:charset w:val="ee"/>
    <w:family w:val="swiss"/>
    <w:pitch w:val="variable"/>
  </w:font>
  <w:font w:name="Liberation Sans">
    <w:altName w:val="Arial"/>
    <w:charset w:val="ee"/>
    <w:family w:val="swiss"/>
    <w:pitch w:val="variable"/>
  </w:font>
  <w:font w:name="Times New Roman">
    <w:charset w:val="ee"/>
    <w:family w:val="roman"/>
    <w:pitch w:val="variable"/>
  </w:font>
  <w:font w:name="Cambria">
    <w:charset w:val="ee"/>
    <w:family w:val="roman"/>
    <w:pitch w:val="variable"/>
  </w:font>
  <w:font w:name="Myriad Pro">
    <w:charset w:val="ee"/>
    <w:family w:val="swiss"/>
    <w:pitch w:val="variable"/>
  </w:font>
  <w:font w:name="Arial Narrow">
    <w:charset w:val="ee"/>
    <w:family w:val="swiss"/>
    <w:pitch w:val="variable"/>
  </w:font>
  <w:font w:name="Helvetica">
    <w:altName w:val="Arial"/>
    <w:charset w:val="ee"/>
    <w:family w:val="swiss"/>
    <w:pitch w:val="variable"/>
  </w:font>
  <w:font w:name="Segoe UI">
    <w:charset w:val="ee"/>
    <w:family w:val="swiss"/>
    <w:pitch w:val="variable"/>
  </w:font>
  <w:font w:name="Verdana">
    <w:charset w:val="ee"/>
    <w:family w:val="swiss"/>
    <w:pitch w:val="variable"/>
  </w:font>
  <w:font w:name="Arial Narrow">
    <w:charset w:val="01"/>
    <w:family w:val="swiss"/>
    <w:pitch w:val="default"/>
  </w:font>
  <w:font w:name="Courier New">
    <w:charset w:val="01"/>
    <w:family w:val="modern"/>
    <w:pitch w:val="fixed"/>
  </w:font>
  <w:font w:name="Wingdings">
    <w:charset w:val="02"/>
    <w:family w:val="auto"/>
    <w:pitch w:val="variable"/>
  </w:font>
  <w:font w:name="Times New Roman">
    <w:charset w:val="01"/>
    <w:family w:val="roman"/>
    <w:pitch w:val="variable"/>
  </w:font>
  <w:font w:name="Arial">
    <w:charset w:val="01"/>
    <w:family w:val="swiss"/>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Reetkatablice"/>
      <w:tblW w:w="932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117"/>
      <w:gridCol w:w="4787"/>
      <w:gridCol w:w="1419"/>
    </w:tblGrid>
    <w:tr>
      <w:trPr/>
      <w:tc>
        <w:tcPr>
          <w:tcW w:w="3117" w:type="dxa"/>
          <w:tcBorders>
            <w:left w:val="nil"/>
            <w:bottom w:val="nil"/>
            <w:right w:val="nil"/>
          </w:tcBorders>
        </w:tcPr>
        <w:p>
          <w:pPr>
            <w:pStyle w:val="Normal"/>
            <w:widowControl w:val="false"/>
            <w:suppressAutoHyphens w:val="true"/>
            <w:spacing w:before="0" w:after="120"/>
            <w:rPr>
              <w:rFonts w:ascii="Calibri" w:hAnsi="Calibri" w:cs=""/>
              <w:kern w:val="0"/>
              <w:sz w:val="22"/>
              <w:szCs w:val="22"/>
              <w:lang w:val="en-US" w:bidi="ar-SA"/>
            </w:rPr>
          </w:pPr>
          <w:sdt>
            <w:sdtPr>
              <w:dataBinding w:prefixMappings="xmlns:ns0='http://schemas.openxmlformats.org/officeDocument/2006/extended-properties' " w:xpath="/ns0:Properties[1]/ns0:Company[1]" w:storeItemID="{6668398D-A668-4E3E-A5EB-62B293D839F1}"/>
              <w:alias w:val="Company"/>
              <w:id w:val="813218456"/>
              <w:showingPlcHdr/>
              <w:text/>
            </w:sdtPr>
            <w:sdtContent>
              <w:r>
                <w:rPr>
                  <w:rFonts w:cs=""/>
                  <w:bCs/>
                  <w:kern w:val="0"/>
                  <w:sz w:val="22"/>
                  <w:szCs w:val="22"/>
                  <w:lang w:val="en-US" w:bidi="ar-SA"/>
                </w:rPr>
              </w:r>
              <w:r>
                <w:rPr>
                  <w:rFonts w:cs=""/>
                  <w:bCs/>
                  <w:kern w:val="0"/>
                  <w:sz w:val="22"/>
                  <w:szCs w:val="22"/>
                  <w:lang w:val="en-US" w:bidi="ar-SA"/>
                </w:rPr>
                <w:t xml:space="preserve">     </w:t>
              </w:r>
            </w:sdtContent>
          </w:sdt>
        </w:p>
      </w:tc>
      <w:tc>
        <w:tcPr>
          <w:tcW w:w="4787" w:type="dxa"/>
          <w:tcBorders>
            <w:left w:val="nil"/>
            <w:bottom w:val="nil"/>
            <w:right w:val="nil"/>
          </w:tcBorders>
        </w:tcPr>
        <w:p>
          <w:pPr>
            <w:pStyle w:val="Normal"/>
            <w:widowControl w:val="false"/>
            <w:suppressAutoHyphens w:val="true"/>
            <w:spacing w:before="0" w:after="120"/>
            <w:rPr>
              <w:rFonts w:ascii="Calibri" w:hAnsi="Calibri" w:cs=""/>
              <w:kern w:val="0"/>
              <w:sz w:val="22"/>
              <w:szCs w:val="22"/>
              <w:lang w:val="en-US" w:bidi="ar-SA"/>
            </w:rPr>
          </w:pPr>
          <w:r>
            <w:rPr>
              <w:rFonts w:cs=""/>
              <w:kern w:val="0"/>
              <w:sz w:val="22"/>
              <w:szCs w:val="22"/>
              <w:lang w:val="en-US" w:bidi="ar-SA"/>
            </w:rPr>
          </w:r>
        </w:p>
      </w:tc>
      <w:tc>
        <w:tcPr>
          <w:tcW w:w="1419" w:type="dxa"/>
          <w:tcBorders>
            <w:left w:val="nil"/>
            <w:bottom w:val="nil"/>
            <w:right w:val="nil"/>
          </w:tcBorders>
        </w:tcPr>
        <w:p>
          <w:pPr>
            <w:pStyle w:val="Normal"/>
            <w:widowControl w:val="false"/>
            <w:suppressAutoHyphens w:val="true"/>
            <w:spacing w:before="0" w:after="120"/>
            <w:jc w:val="right"/>
            <w:rPr>
              <w:rFonts w:ascii="Calibri" w:hAnsi="Calibri" w:cs=""/>
              <w:kern w:val="0"/>
              <w:sz w:val="22"/>
              <w:szCs w:val="22"/>
              <w:lang w:val="en-US" w:bidi="ar-SA"/>
            </w:rPr>
          </w:pPr>
          <w:r>
            <w:rPr>
              <w:rFonts w:cs=""/>
              <w:kern w:val="0"/>
              <w:sz w:val="22"/>
              <w:szCs w:val="22"/>
              <w:lang w:val="en-US" w:bidi="ar-SA"/>
            </w:rPr>
            <w:fldChar w:fldCharType="begin"/>
          </w:r>
          <w:r>
            <w:rPr>
              <w:sz w:val="22"/>
              <w:kern w:val="0"/>
              <w:szCs w:val="22"/>
              <w:rFonts w:cs=""/>
              <w:lang w:val="en-US" w:bidi="ar-SA"/>
            </w:rPr>
            <w:instrText xml:space="preserve"> PAGE </w:instrText>
          </w:r>
          <w:r>
            <w:rPr>
              <w:sz w:val="22"/>
              <w:kern w:val="0"/>
              <w:szCs w:val="22"/>
              <w:rFonts w:cs=""/>
              <w:lang w:val="en-US" w:bidi="ar-SA"/>
            </w:rPr>
            <w:fldChar w:fldCharType="separate"/>
          </w:r>
          <w:r>
            <w:rPr>
              <w:sz w:val="22"/>
              <w:kern w:val="0"/>
              <w:szCs w:val="22"/>
              <w:rFonts w:cs=""/>
              <w:lang w:val="en-US" w:bidi="ar-SA"/>
            </w:rPr>
            <w:t>5</w:t>
          </w:r>
          <w:r>
            <w:rPr>
              <w:sz w:val="22"/>
              <w:kern w:val="0"/>
              <w:szCs w:val="22"/>
              <w:rFonts w:cs=""/>
              <w:lang w:val="en-US" w:bidi="ar-SA"/>
            </w:rPr>
            <w:fldChar w:fldCharType="end"/>
          </w:r>
        </w:p>
      </w:tc>
    </w:tr>
  </w:tbl>
  <w:p>
    <w:pPr>
      <w:pStyle w:val="Normal"/>
      <w:tabs>
        <w:tab w:val="clear" w:pos="708"/>
        <w:tab w:val="center" w:pos="4513" w:leader="none"/>
        <w:tab w:val="right" w:pos="9026" w:leader="none"/>
      </w:tabs>
      <w:spacing w:before="0" w:after="0"/>
      <w:jc w:val="center"/>
      <w:rPr>
        <w:rFonts w:ascii="Verdana" w:hAnsi="Verdana" w:cs="Calibri Light"/>
        <w:i/>
        <w:i/>
        <w:iCs/>
        <w:color w:val="000000"/>
        <w:sz w:val="14"/>
        <w:shd w:fill="FFFFFF" w:val="clear"/>
      </w:rPr>
    </w:pPr>
    <w:r>
      <w:rPr>
        <w:rFonts w:cs="Calibri Light" w:ascii="Verdana" w:hAnsi="Verdana"/>
        <w:i/>
        <w:iCs/>
        <w:color w:val="000000"/>
        <w:sz w:val="14"/>
        <w:shd w:fill="FFFFFF" w:val="clea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Reetkatablice"/>
      <w:tblW w:w="932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117"/>
      <w:gridCol w:w="4787"/>
      <w:gridCol w:w="1419"/>
    </w:tblGrid>
    <w:tr>
      <w:trPr/>
      <w:tc>
        <w:tcPr>
          <w:tcW w:w="3117" w:type="dxa"/>
          <w:tcBorders>
            <w:left w:val="nil"/>
            <w:bottom w:val="nil"/>
            <w:right w:val="nil"/>
          </w:tcBorders>
        </w:tcPr>
        <w:p>
          <w:pPr>
            <w:pStyle w:val="Normal"/>
            <w:widowControl w:val="false"/>
            <w:suppressAutoHyphens w:val="true"/>
            <w:spacing w:before="0" w:after="120"/>
            <w:rPr>
              <w:rFonts w:ascii="Calibri" w:hAnsi="Calibri" w:cs=""/>
              <w:kern w:val="0"/>
              <w:sz w:val="22"/>
              <w:szCs w:val="22"/>
              <w:lang w:val="en-US" w:bidi="ar-SA"/>
            </w:rPr>
          </w:pPr>
          <w:sdt>
            <w:sdtPr>
              <w:dataBinding w:prefixMappings="xmlns:ns0='http://schemas.openxmlformats.org/officeDocument/2006/extended-properties' " w:xpath="/ns0:Properties[1]/ns0:Company[1]" w:storeItemID="{6668398D-A668-4E3E-A5EB-62B293D839F1}"/>
              <w:alias w:val="Company"/>
              <w:id w:val="813218456"/>
              <w:showingPlcHdr/>
              <w:text/>
            </w:sdtPr>
            <w:sdtContent>
              <w:r>
                <w:rPr>
                  <w:rFonts w:cs=""/>
                  <w:bCs/>
                  <w:kern w:val="0"/>
                  <w:sz w:val="22"/>
                  <w:szCs w:val="22"/>
                  <w:lang w:val="en-US" w:bidi="ar-SA"/>
                </w:rPr>
              </w:r>
              <w:r>
                <w:rPr>
                  <w:rFonts w:cs=""/>
                  <w:bCs/>
                  <w:kern w:val="0"/>
                  <w:sz w:val="22"/>
                  <w:szCs w:val="22"/>
                  <w:lang w:val="en-US" w:bidi="ar-SA"/>
                </w:rPr>
                <w:t xml:space="preserve">     </w:t>
              </w:r>
            </w:sdtContent>
          </w:sdt>
        </w:p>
      </w:tc>
      <w:tc>
        <w:tcPr>
          <w:tcW w:w="4787" w:type="dxa"/>
          <w:tcBorders>
            <w:left w:val="nil"/>
            <w:bottom w:val="nil"/>
            <w:right w:val="nil"/>
          </w:tcBorders>
        </w:tcPr>
        <w:p>
          <w:pPr>
            <w:pStyle w:val="Normal"/>
            <w:widowControl w:val="false"/>
            <w:suppressAutoHyphens w:val="true"/>
            <w:spacing w:before="0" w:after="120"/>
            <w:rPr>
              <w:rFonts w:ascii="Calibri" w:hAnsi="Calibri" w:cs=""/>
              <w:kern w:val="0"/>
              <w:sz w:val="22"/>
              <w:szCs w:val="22"/>
              <w:lang w:val="en-US" w:bidi="ar-SA"/>
            </w:rPr>
          </w:pPr>
          <w:r>
            <w:rPr>
              <w:rFonts w:cs=""/>
              <w:kern w:val="0"/>
              <w:sz w:val="22"/>
              <w:szCs w:val="22"/>
              <w:lang w:val="en-US" w:bidi="ar-SA"/>
            </w:rPr>
          </w:r>
        </w:p>
      </w:tc>
      <w:tc>
        <w:tcPr>
          <w:tcW w:w="1419" w:type="dxa"/>
          <w:tcBorders>
            <w:left w:val="nil"/>
            <w:bottom w:val="nil"/>
            <w:right w:val="nil"/>
          </w:tcBorders>
        </w:tcPr>
        <w:p>
          <w:pPr>
            <w:pStyle w:val="Normal"/>
            <w:widowControl w:val="false"/>
            <w:suppressAutoHyphens w:val="true"/>
            <w:spacing w:before="0" w:after="120"/>
            <w:jc w:val="right"/>
            <w:rPr>
              <w:rFonts w:ascii="Calibri" w:hAnsi="Calibri" w:cs=""/>
              <w:kern w:val="0"/>
              <w:sz w:val="22"/>
              <w:szCs w:val="22"/>
              <w:lang w:val="en-US" w:bidi="ar-SA"/>
            </w:rPr>
          </w:pPr>
          <w:r>
            <w:rPr>
              <w:rFonts w:cs=""/>
              <w:kern w:val="0"/>
              <w:sz w:val="22"/>
              <w:szCs w:val="22"/>
              <w:lang w:val="en-US" w:bidi="ar-SA"/>
            </w:rPr>
            <w:fldChar w:fldCharType="begin"/>
          </w:r>
          <w:r>
            <w:rPr>
              <w:sz w:val="22"/>
              <w:kern w:val="0"/>
              <w:szCs w:val="22"/>
              <w:rFonts w:cs=""/>
              <w:lang w:val="en-US" w:bidi="ar-SA"/>
            </w:rPr>
            <w:instrText xml:space="preserve"> PAGE </w:instrText>
          </w:r>
          <w:r>
            <w:rPr>
              <w:sz w:val="22"/>
              <w:kern w:val="0"/>
              <w:szCs w:val="22"/>
              <w:rFonts w:cs=""/>
              <w:lang w:val="en-US" w:bidi="ar-SA"/>
            </w:rPr>
            <w:fldChar w:fldCharType="separate"/>
          </w:r>
          <w:r>
            <w:rPr>
              <w:sz w:val="22"/>
              <w:kern w:val="0"/>
              <w:szCs w:val="22"/>
              <w:rFonts w:cs=""/>
              <w:lang w:val="en-US" w:bidi="ar-SA"/>
            </w:rPr>
            <w:t>5</w:t>
          </w:r>
          <w:r>
            <w:rPr>
              <w:sz w:val="22"/>
              <w:kern w:val="0"/>
              <w:szCs w:val="22"/>
              <w:rFonts w:cs=""/>
              <w:lang w:val="en-US" w:bidi="ar-SA"/>
            </w:rPr>
            <w:fldChar w:fldCharType="end"/>
          </w:r>
        </w:p>
      </w:tc>
    </w:tr>
  </w:tbl>
  <w:p>
    <w:pPr>
      <w:pStyle w:val="Normal"/>
      <w:tabs>
        <w:tab w:val="clear" w:pos="708"/>
        <w:tab w:val="center" w:pos="4513" w:leader="none"/>
        <w:tab w:val="right" w:pos="9026" w:leader="none"/>
      </w:tabs>
      <w:spacing w:before="0" w:after="0"/>
      <w:jc w:val="center"/>
      <w:rPr>
        <w:rFonts w:ascii="Verdana" w:hAnsi="Verdana" w:cs="Calibri Light"/>
        <w:i/>
        <w:i/>
        <w:iCs/>
        <w:color w:val="000000"/>
        <w:sz w:val="14"/>
        <w:shd w:fill="FFFFFF" w:val="clear"/>
      </w:rPr>
    </w:pPr>
    <w:r>
      <w:rPr>
        <w:rFonts w:cs="Calibri Light" w:ascii="Verdana" w:hAnsi="Verdana"/>
        <w:i/>
        <w:iCs/>
        <w:color w:val="000000"/>
        <w:sz w:val="14"/>
        <w:shd w:fill="FFFFFF" w:val="clea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0"/>
        <w:szCs w:val="20"/>
      </w:rPr>
      <w:fldChar w:fldCharType="begin"/>
    </w:r>
    <w:r>
      <w:rPr>
        <w:sz w:val="20"/>
        <w:szCs w:val="20"/>
      </w:rPr>
      <w:instrText xml:space="preserve"> PAGE </w:instrText>
    </w:r>
    <w:r>
      <w:rPr>
        <w:sz w:val="20"/>
        <w:szCs w:val="20"/>
      </w:rPr>
      <w:fldChar w:fldCharType="separate"/>
    </w:r>
    <w:r>
      <w:rPr>
        <w:sz w:val="20"/>
        <w:szCs w:val="20"/>
      </w:rPr>
      <w:t>0</w:t>
    </w:r>
    <w:r>
      <w:rPr>
        <w:sz w:val="20"/>
        <w:szCs w:val="20"/>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536"/>
        <w:tab w:val="clear" w:pos="9072"/>
        <w:tab w:val="left" w:pos="1080" w:leader="none"/>
        <w:tab w:val="left" w:pos="1230" w:leader="none"/>
        <w:tab w:val="left" w:pos="1530" w:leader="none"/>
        <w:tab w:val="left" w:pos="1635" w:leader="none"/>
        <w:tab w:val="left" w:pos="2010" w:leader="none"/>
        <w:tab w:val="left" w:pos="2130" w:leader="none"/>
        <w:tab w:val="left" w:pos="2265" w:leader="none"/>
        <w:tab w:val="left" w:pos="2505" w:leader="none"/>
        <w:tab w:val="left" w:pos="2790" w:leader="none"/>
        <w:tab w:val="right" w:pos="9212" w:leader="none"/>
      </w:tabs>
      <w:jc w:val="left"/>
      <w:rPr/>
    </w:pPr>
    <w:r>
      <w:rPr/>
      <w:tab/>
      <w:tab/>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2203" w:hanging="360"/>
      </w:pPr>
      <w:rPr>
        <w:rFonts w:ascii="Calibri" w:hAnsi="Calibri" w:eastAsia="" w:cs="Calibri" w:asciiTheme="minorHAnsi" w:cstheme="minorHAnsi" w:eastAsiaTheme="majorEastAsia" w:hAnsiTheme="minorHAnsi"/>
      </w:rPr>
    </w:lvl>
    <w:lvl w:ilvl="1">
      <w:start w:val="1"/>
      <w:isLgl/>
      <w:numFmt w:val="decimal"/>
      <w:lvlText w:val="%1.%2."/>
      <w:lvlJc w:val="left"/>
      <w:pPr>
        <w:tabs>
          <w:tab w:val="num" w:pos="0"/>
        </w:tabs>
        <w:ind w:left="2421" w:hanging="720"/>
      </w:pPr>
      <w:rPr/>
    </w:lvl>
    <w:lvl w:ilvl="2">
      <w:start w:val="1"/>
      <w:isLgl/>
      <w:numFmt w:val="decimal"/>
      <w:lvlText w:val="%1.%2.%3."/>
      <w:lvlJc w:val="left"/>
      <w:pPr>
        <w:tabs>
          <w:tab w:val="num" w:pos="0"/>
        </w:tabs>
        <w:ind w:left="7383" w:hanging="720"/>
      </w:pPr>
      <w:rPr/>
    </w:lvl>
    <w:lvl w:ilvl="3">
      <w:start w:val="1"/>
      <w:isLgl/>
      <w:numFmt w:val="decimal"/>
      <w:lvlText w:val="%1.%2.%3.%4."/>
      <w:lvlJc w:val="left"/>
      <w:pPr>
        <w:tabs>
          <w:tab w:val="num" w:pos="0"/>
        </w:tabs>
        <w:ind w:left="1080" w:hanging="1080"/>
      </w:pPr>
      <w:rPr/>
    </w:lvl>
    <w:lvl w:ilvl="4">
      <w:start w:val="1"/>
      <w:isLgl/>
      <w:numFmt w:val="decimal"/>
      <w:lvlText w:val="%1.%2.%3.%4.%5."/>
      <w:lvlJc w:val="left"/>
      <w:pPr>
        <w:tabs>
          <w:tab w:val="num" w:pos="0"/>
        </w:tabs>
        <w:ind w:left="1080" w:hanging="1080"/>
      </w:pPr>
      <w:rPr/>
    </w:lvl>
    <w:lvl w:ilvl="5">
      <w:start w:val="1"/>
      <w:isLgl/>
      <w:numFmt w:val="decimal"/>
      <w:lvlText w:val="%1.%2.%3.%4.%5.%6."/>
      <w:lvlJc w:val="left"/>
      <w:pPr>
        <w:tabs>
          <w:tab w:val="num" w:pos="0"/>
        </w:tabs>
        <w:ind w:left="1440" w:hanging="1440"/>
      </w:pPr>
      <w:rPr/>
    </w:lvl>
    <w:lvl w:ilvl="6">
      <w:start w:val="1"/>
      <w:isLgl/>
      <w:numFmt w:val="decimal"/>
      <w:lvlText w:val="%1.%2.%3.%4.%5.%6.%7."/>
      <w:lvlJc w:val="left"/>
      <w:pPr>
        <w:tabs>
          <w:tab w:val="num" w:pos="0"/>
        </w:tabs>
        <w:ind w:left="1440" w:hanging="1440"/>
      </w:pPr>
      <w:rPr/>
    </w:lvl>
    <w:lvl w:ilvl="7">
      <w:start w:val="1"/>
      <w:isLgl/>
      <w:numFmt w:val="decimal"/>
      <w:lvlText w:val="%1.%2.%3.%4.%5.%6.%7.%8."/>
      <w:lvlJc w:val="left"/>
      <w:pPr>
        <w:tabs>
          <w:tab w:val="num" w:pos="0"/>
        </w:tabs>
        <w:ind w:left="1800" w:hanging="1800"/>
      </w:pPr>
      <w:rPr/>
    </w:lvl>
    <w:lvl w:ilvl="8">
      <w:start w:val="1"/>
      <w:isLgl/>
      <w:numFmt w:val="decimal"/>
      <w:lvlText w:val="%1.%2.%3.%4.%5.%6.%7.%8.%9."/>
      <w:lvlJc w:val="left"/>
      <w:pPr>
        <w:tabs>
          <w:tab w:val="num" w:pos="0"/>
        </w:tabs>
        <w:ind w:left="1800" w:hanging="1800"/>
      </w:pPr>
      <w:rPr/>
    </w:lvl>
  </w:abstractNum>
  <w:abstractNum w:abstractNumId="2">
    <w:lvl w:ilvl="0">
      <w:numFmt w:val="bullet"/>
      <w:lvlText w:val="-"/>
      <w:lvlJc w:val="left"/>
      <w:pPr>
        <w:tabs>
          <w:tab w:val="num" w:pos="0"/>
        </w:tabs>
        <w:ind w:left="1413" w:hanging="361"/>
      </w:pPr>
      <w:rPr>
        <w:rFonts w:ascii="Arial Narrow" w:hAnsi="Arial Narrow" w:cs="Arial Narrow" w:hint="default"/>
        <w:sz w:val="24"/>
        <w:spacing w:val="-15"/>
        <w:szCs w:val="24"/>
        <w:w w:val="100"/>
      </w:rPr>
    </w:lvl>
    <w:lvl w:ilvl="1">
      <w:start w:val="0"/>
      <w:numFmt w:val="bullet"/>
      <w:lvlText w:val=""/>
      <w:lvlJc w:val="left"/>
      <w:pPr>
        <w:tabs>
          <w:tab w:val="num" w:pos="0"/>
        </w:tabs>
        <w:ind w:left="2460" w:hanging="361"/>
      </w:pPr>
      <w:rPr>
        <w:rFonts w:ascii="Symbol" w:hAnsi="Symbol" w:cs="Symbol" w:hint="default"/>
      </w:rPr>
    </w:lvl>
    <w:lvl w:ilvl="2">
      <w:start w:val="0"/>
      <w:numFmt w:val="bullet"/>
      <w:lvlText w:val=""/>
      <w:lvlJc w:val="left"/>
      <w:pPr>
        <w:tabs>
          <w:tab w:val="num" w:pos="0"/>
        </w:tabs>
        <w:ind w:left="3501" w:hanging="361"/>
      </w:pPr>
      <w:rPr>
        <w:rFonts w:ascii="Symbol" w:hAnsi="Symbol" w:cs="Symbol" w:hint="default"/>
      </w:rPr>
    </w:lvl>
    <w:lvl w:ilvl="3">
      <w:start w:val="0"/>
      <w:numFmt w:val="bullet"/>
      <w:lvlText w:val=""/>
      <w:lvlJc w:val="left"/>
      <w:pPr>
        <w:tabs>
          <w:tab w:val="num" w:pos="0"/>
        </w:tabs>
        <w:ind w:left="4541" w:hanging="361"/>
      </w:pPr>
      <w:rPr>
        <w:rFonts w:ascii="Symbol" w:hAnsi="Symbol" w:cs="Symbol" w:hint="default"/>
      </w:rPr>
    </w:lvl>
    <w:lvl w:ilvl="4">
      <w:start w:val="0"/>
      <w:numFmt w:val="bullet"/>
      <w:lvlText w:val=""/>
      <w:lvlJc w:val="left"/>
      <w:pPr>
        <w:tabs>
          <w:tab w:val="num" w:pos="0"/>
        </w:tabs>
        <w:ind w:left="5582" w:hanging="361"/>
      </w:pPr>
      <w:rPr>
        <w:rFonts w:ascii="Symbol" w:hAnsi="Symbol" w:cs="Symbol" w:hint="default"/>
      </w:rPr>
    </w:lvl>
    <w:lvl w:ilvl="5">
      <w:start w:val="0"/>
      <w:numFmt w:val="bullet"/>
      <w:lvlText w:val=""/>
      <w:lvlJc w:val="left"/>
      <w:pPr>
        <w:tabs>
          <w:tab w:val="num" w:pos="0"/>
        </w:tabs>
        <w:ind w:left="6623" w:hanging="361"/>
      </w:pPr>
      <w:rPr>
        <w:rFonts w:ascii="Symbol" w:hAnsi="Symbol" w:cs="Symbol" w:hint="default"/>
      </w:rPr>
    </w:lvl>
    <w:lvl w:ilvl="6">
      <w:start w:val="0"/>
      <w:numFmt w:val="bullet"/>
      <w:lvlText w:val=""/>
      <w:lvlJc w:val="left"/>
      <w:pPr>
        <w:tabs>
          <w:tab w:val="num" w:pos="0"/>
        </w:tabs>
        <w:ind w:left="7663" w:hanging="361"/>
      </w:pPr>
      <w:rPr>
        <w:rFonts w:ascii="Symbol" w:hAnsi="Symbol" w:cs="Symbol" w:hint="default"/>
      </w:rPr>
    </w:lvl>
    <w:lvl w:ilvl="7">
      <w:start w:val="0"/>
      <w:numFmt w:val="bullet"/>
      <w:lvlText w:val=""/>
      <w:lvlJc w:val="left"/>
      <w:pPr>
        <w:tabs>
          <w:tab w:val="num" w:pos="0"/>
        </w:tabs>
        <w:ind w:left="8704" w:hanging="361"/>
      </w:pPr>
      <w:rPr>
        <w:rFonts w:ascii="Symbol" w:hAnsi="Symbol" w:cs="Symbol" w:hint="default"/>
      </w:rPr>
    </w:lvl>
    <w:lvl w:ilvl="8">
      <w:start w:val="0"/>
      <w:numFmt w:val="bullet"/>
      <w:lvlText w:val=""/>
      <w:lvlJc w:val="left"/>
      <w:pPr>
        <w:tabs>
          <w:tab w:val="num" w:pos="0"/>
        </w:tabs>
        <w:ind w:left="9745" w:hanging="361"/>
      </w:pPr>
      <w:rPr>
        <w:rFonts w:ascii="Symbol" w:hAnsi="Symbol" w:cs="Symbol" w:hint="default"/>
      </w:rPr>
    </w:lvl>
  </w:abstractNum>
  <w:abstractNum w:abstractNumId="3">
    <w:lvl w:ilvl="0">
      <w:start w:val="1"/>
      <w:numFmt w:val="decimal"/>
      <w:lvlText w:val="%1."/>
      <w:lvlJc w:val="left"/>
      <w:pPr>
        <w:tabs>
          <w:tab w:val="num" w:pos="0"/>
        </w:tabs>
        <w:ind w:left="360" w:hanging="360"/>
      </w:pPr>
      <w:rPr>
        <w:sz w:val="22"/>
        <w:i w:val="false"/>
        <w:b w:val="false"/>
        <w:szCs w:val="22"/>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decimal"/>
      <w:lvlText w:val="%1."/>
      <w:lvlJc w:val="left"/>
      <w:pPr>
        <w:tabs>
          <w:tab w:val="num" w:pos="0"/>
        </w:tabs>
        <w:ind w:left="360" w:hanging="360"/>
      </w:pPr>
      <w:rPr>
        <w:sz w:val="28"/>
        <w:i w:val="false"/>
        <w:b/>
        <w:rFonts w:ascii="Arial" w:hAnsi="Arial" w:cs="Arial"/>
      </w:rPr>
    </w:lvl>
    <w:lvl w:ilvl="1">
      <w:start w:val="1"/>
      <w:numFmt w:val="decimal"/>
      <w:suff w:val="space"/>
      <w:lvlText w:val="%1.%2."/>
      <w:lvlJc w:val="left"/>
      <w:pPr>
        <w:tabs>
          <w:tab w:val="num" w:pos="0"/>
        </w:tabs>
        <w:ind w:left="0" w:hanging="0"/>
      </w:pPr>
      <w:rPr>
        <w:sz w:val="24"/>
        <w:i w:val="false"/>
        <w:b/>
        <w:rFonts w:ascii="Calibri" w:hAnsi="Calibri" w:cs="Calibri" w:asciiTheme="minorHAnsi" w:cstheme="minorHAnsi" w:hAnsiTheme="minorHAnsi"/>
      </w:rPr>
    </w:lvl>
    <w:lvl w:ilvl="2">
      <w:start w:val="1"/>
      <w:numFmt w:val="decimal"/>
      <w:suff w:val="space"/>
      <w:lvlText w:val="%1.%2.%3."/>
      <w:lvlJc w:val="left"/>
      <w:pPr>
        <w:tabs>
          <w:tab w:val="num" w:pos="0"/>
        </w:tabs>
        <w:ind w:left="0" w:hanging="0"/>
      </w:pPr>
      <w:rPr>
        <w:sz w:val="24"/>
        <w:i w:val="false"/>
        <w:b/>
        <w:rFonts w:ascii="Calibri" w:hAnsi="Calibri" w:cs="Calibri" w:asciiTheme="minorHAnsi" w:cstheme="minorHAnsi" w:hAnsiTheme="minorHAnsi"/>
      </w:rPr>
    </w:lvl>
    <w:lvl w:ilvl="3">
      <w:start w:val="1"/>
      <w:numFmt w:val="decimal"/>
      <w:lvlText w:val="(%4)"/>
      <w:lvlJc w:val="left"/>
      <w:pPr>
        <w:tabs>
          <w:tab w:val="num" w:pos="0"/>
        </w:tabs>
        <w:ind w:left="1440" w:hanging="360"/>
      </w:pPr>
      <w:rPr/>
    </w:lvl>
    <w:lvl w:ilvl="4">
      <w:start w:val="1"/>
      <w:numFmt w:val="lowerLetter"/>
      <w:lvlText w:val="(%5)"/>
      <w:lvlJc w:val="left"/>
      <w:pPr>
        <w:tabs>
          <w:tab w:val="num" w:pos="0"/>
        </w:tabs>
        <w:ind w:left="1800" w:hanging="360"/>
      </w:pPr>
      <w:rPr/>
    </w:lvl>
    <w:lvl w:ilvl="5">
      <w:start w:val="1"/>
      <w:numFmt w:val="lowerRoman"/>
      <w:lvlText w:val="(%6)"/>
      <w:lvlJc w:val="left"/>
      <w:pPr>
        <w:tabs>
          <w:tab w:val="num" w:pos="0"/>
        </w:tabs>
        <w:ind w:left="2160" w:hanging="360"/>
      </w:pPr>
      <w:rPr/>
    </w:lvl>
    <w:lvl w:ilvl="6">
      <w:start w:val="1"/>
      <w:numFmt w:val="decimal"/>
      <w:lvlText w:val="%7."/>
      <w:lvlJc w:val="left"/>
      <w:pPr>
        <w:tabs>
          <w:tab w:val="num" w:pos="0"/>
        </w:tabs>
        <w:ind w:left="2520" w:hanging="360"/>
      </w:pPr>
      <w:rPr/>
    </w:lvl>
    <w:lvl w:ilvl="7">
      <w:start w:val="1"/>
      <w:numFmt w:val="lowerLetter"/>
      <w:lvlText w:val="%8."/>
      <w:lvlJc w:val="left"/>
      <w:pPr>
        <w:tabs>
          <w:tab w:val="num" w:pos="0"/>
        </w:tabs>
        <w:ind w:left="2880" w:hanging="360"/>
      </w:pPr>
      <w:rPr/>
    </w:lvl>
    <w:lvl w:ilvl="8">
      <w:start w:val="1"/>
      <w:numFmt w:val="lowerRoman"/>
      <w:lvlText w:val="%9."/>
      <w:lvlJc w:val="left"/>
      <w:pPr>
        <w:tabs>
          <w:tab w:val="num" w:pos="0"/>
        </w:tabs>
        <w:ind w:left="3240" w:hanging="360"/>
      </w:pPr>
      <w:rPr/>
    </w:lvl>
  </w:abstractNum>
  <w:abstractNum w:abstractNumId="6">
    <w:lvl w:ilvl="0">
      <w:start w:val="1"/>
      <w:numFmt w:val="bullet"/>
      <w:lvlText w:val="-"/>
      <w:lvlJc w:val="left"/>
      <w:pPr>
        <w:tabs>
          <w:tab w:val="num" w:pos="0"/>
        </w:tabs>
        <w:ind w:left="1764" w:hanging="360"/>
      </w:pPr>
      <w:rPr>
        <w:rFonts w:ascii="Times New Roman" w:hAnsi="Times New Roman" w:cs="Times New Roman" w:hint="default"/>
      </w:rPr>
    </w:lvl>
    <w:lvl w:ilvl="1">
      <w:start w:val="1"/>
      <w:numFmt w:val="bullet"/>
      <w:lvlText w:val="o"/>
      <w:lvlJc w:val="left"/>
      <w:pPr>
        <w:tabs>
          <w:tab w:val="num" w:pos="0"/>
        </w:tabs>
        <w:ind w:left="2484" w:hanging="360"/>
      </w:pPr>
      <w:rPr>
        <w:rFonts w:ascii="Courier New" w:hAnsi="Courier New" w:cs="Courier New" w:hint="default"/>
      </w:rPr>
    </w:lvl>
    <w:lvl w:ilvl="2">
      <w:start w:val="1"/>
      <w:numFmt w:val="bullet"/>
      <w:lvlText w:val=""/>
      <w:lvlJc w:val="left"/>
      <w:pPr>
        <w:tabs>
          <w:tab w:val="num" w:pos="0"/>
        </w:tabs>
        <w:ind w:left="3204" w:hanging="360"/>
      </w:pPr>
      <w:rPr>
        <w:rFonts w:ascii="Wingdings" w:hAnsi="Wingdings" w:cs="Wingdings" w:hint="default"/>
      </w:rPr>
    </w:lvl>
    <w:lvl w:ilvl="3">
      <w:start w:val="1"/>
      <w:numFmt w:val="bullet"/>
      <w:lvlText w:val=""/>
      <w:lvlJc w:val="left"/>
      <w:pPr>
        <w:tabs>
          <w:tab w:val="num" w:pos="0"/>
        </w:tabs>
        <w:ind w:left="3924" w:hanging="360"/>
      </w:pPr>
      <w:rPr>
        <w:rFonts w:ascii="Symbol" w:hAnsi="Symbol" w:cs="Symbol" w:hint="default"/>
      </w:rPr>
    </w:lvl>
    <w:lvl w:ilvl="4">
      <w:start w:val="1"/>
      <w:numFmt w:val="bullet"/>
      <w:lvlText w:val="o"/>
      <w:lvlJc w:val="left"/>
      <w:pPr>
        <w:tabs>
          <w:tab w:val="num" w:pos="0"/>
        </w:tabs>
        <w:ind w:left="4644" w:hanging="360"/>
      </w:pPr>
      <w:rPr>
        <w:rFonts w:ascii="Courier New" w:hAnsi="Courier New" w:cs="Courier New" w:hint="default"/>
      </w:rPr>
    </w:lvl>
    <w:lvl w:ilvl="5">
      <w:start w:val="1"/>
      <w:numFmt w:val="bullet"/>
      <w:lvlText w:val=""/>
      <w:lvlJc w:val="left"/>
      <w:pPr>
        <w:tabs>
          <w:tab w:val="num" w:pos="0"/>
        </w:tabs>
        <w:ind w:left="5364" w:hanging="360"/>
      </w:pPr>
      <w:rPr>
        <w:rFonts w:ascii="Wingdings" w:hAnsi="Wingdings" w:cs="Wingdings" w:hint="default"/>
      </w:rPr>
    </w:lvl>
    <w:lvl w:ilvl="6">
      <w:start w:val="1"/>
      <w:numFmt w:val="bullet"/>
      <w:lvlText w:val=""/>
      <w:lvlJc w:val="left"/>
      <w:pPr>
        <w:tabs>
          <w:tab w:val="num" w:pos="0"/>
        </w:tabs>
        <w:ind w:left="6084" w:hanging="360"/>
      </w:pPr>
      <w:rPr>
        <w:rFonts w:ascii="Symbol" w:hAnsi="Symbol" w:cs="Symbol" w:hint="default"/>
      </w:rPr>
    </w:lvl>
    <w:lvl w:ilvl="7">
      <w:start w:val="1"/>
      <w:numFmt w:val="bullet"/>
      <w:lvlText w:val="o"/>
      <w:lvlJc w:val="left"/>
      <w:pPr>
        <w:tabs>
          <w:tab w:val="num" w:pos="0"/>
        </w:tabs>
        <w:ind w:left="6804" w:hanging="360"/>
      </w:pPr>
      <w:rPr>
        <w:rFonts w:ascii="Courier New" w:hAnsi="Courier New" w:cs="Courier New" w:hint="default"/>
      </w:rPr>
    </w:lvl>
    <w:lvl w:ilvl="8">
      <w:start w:val="1"/>
      <w:numFmt w:val="bullet"/>
      <w:lvlText w:val=""/>
      <w:lvlJc w:val="left"/>
      <w:pPr>
        <w:tabs>
          <w:tab w:val="num" w:pos="0"/>
        </w:tabs>
        <w:ind w:left="7524" w:hanging="360"/>
      </w:pPr>
      <w:rPr>
        <w:rFonts w:ascii="Wingdings" w:hAnsi="Wingdings" w:cs="Wingdings" w:hint="default"/>
      </w:rPr>
    </w:lvl>
  </w:abstractNum>
  <w:abstractNum w:abstractNumId="7">
    <w:lvl w:ilvl="0">
      <w:start w:val="1"/>
      <w:numFmt w:val="decimal"/>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26"/>
      <w:numFmt w:val="bullet"/>
      <w:lvlText w:val="-"/>
      <w:lvlJc w:val="left"/>
      <w:pPr>
        <w:tabs>
          <w:tab w:val="num" w:pos="0"/>
        </w:tabs>
        <w:ind w:left="1620" w:hanging="360"/>
      </w:pPr>
      <w:rPr>
        <w:rFonts w:ascii="Arial" w:hAnsi="Arial" w:cs="Arial" w:hint="default"/>
      </w:rPr>
    </w:lvl>
    <w:lvl w:ilvl="1">
      <w:start w:val="1"/>
      <w:numFmt w:val="bullet"/>
      <w:lvlText w:val="o"/>
      <w:lvlJc w:val="left"/>
      <w:pPr>
        <w:tabs>
          <w:tab w:val="num" w:pos="0"/>
        </w:tabs>
        <w:ind w:left="2340" w:hanging="360"/>
      </w:pPr>
      <w:rPr>
        <w:rFonts w:ascii="Courier New" w:hAnsi="Courier New" w:cs="Courier New" w:hint="default"/>
      </w:rPr>
    </w:lvl>
    <w:lvl w:ilvl="2">
      <w:start w:val="1"/>
      <w:numFmt w:val="bullet"/>
      <w:lvlText w:val=""/>
      <w:lvlJc w:val="left"/>
      <w:pPr>
        <w:tabs>
          <w:tab w:val="num" w:pos="0"/>
        </w:tabs>
        <w:ind w:left="3060" w:hanging="360"/>
      </w:pPr>
      <w:rPr>
        <w:rFonts w:ascii="Wingdings" w:hAnsi="Wingdings" w:cs="Wingdings" w:hint="default"/>
      </w:rPr>
    </w:lvl>
    <w:lvl w:ilvl="3">
      <w:start w:val="1"/>
      <w:numFmt w:val="bullet"/>
      <w:lvlText w:val=""/>
      <w:lvlJc w:val="left"/>
      <w:pPr>
        <w:tabs>
          <w:tab w:val="num" w:pos="0"/>
        </w:tabs>
        <w:ind w:left="3780" w:hanging="360"/>
      </w:pPr>
      <w:rPr>
        <w:rFonts w:ascii="Symbol" w:hAnsi="Symbol" w:cs="Symbol" w:hint="default"/>
      </w:rPr>
    </w:lvl>
    <w:lvl w:ilvl="4">
      <w:start w:val="1"/>
      <w:numFmt w:val="bullet"/>
      <w:lvlText w:val="o"/>
      <w:lvlJc w:val="left"/>
      <w:pPr>
        <w:tabs>
          <w:tab w:val="num" w:pos="0"/>
        </w:tabs>
        <w:ind w:left="4500" w:hanging="360"/>
      </w:pPr>
      <w:rPr>
        <w:rFonts w:ascii="Courier New" w:hAnsi="Courier New" w:cs="Courier New" w:hint="default"/>
      </w:rPr>
    </w:lvl>
    <w:lvl w:ilvl="5">
      <w:start w:val="1"/>
      <w:numFmt w:val="bullet"/>
      <w:lvlText w:val=""/>
      <w:lvlJc w:val="left"/>
      <w:pPr>
        <w:tabs>
          <w:tab w:val="num" w:pos="0"/>
        </w:tabs>
        <w:ind w:left="5220" w:hanging="360"/>
      </w:pPr>
      <w:rPr>
        <w:rFonts w:ascii="Wingdings" w:hAnsi="Wingdings" w:cs="Wingdings" w:hint="default"/>
      </w:rPr>
    </w:lvl>
    <w:lvl w:ilvl="6">
      <w:start w:val="1"/>
      <w:numFmt w:val="bullet"/>
      <w:lvlText w:val=""/>
      <w:lvlJc w:val="left"/>
      <w:pPr>
        <w:tabs>
          <w:tab w:val="num" w:pos="0"/>
        </w:tabs>
        <w:ind w:left="5940" w:hanging="360"/>
      </w:pPr>
      <w:rPr>
        <w:rFonts w:ascii="Symbol" w:hAnsi="Symbol" w:cs="Symbol" w:hint="default"/>
      </w:rPr>
    </w:lvl>
    <w:lvl w:ilvl="7">
      <w:start w:val="1"/>
      <w:numFmt w:val="bullet"/>
      <w:lvlText w:val="o"/>
      <w:lvlJc w:val="left"/>
      <w:pPr>
        <w:tabs>
          <w:tab w:val="num" w:pos="0"/>
        </w:tabs>
        <w:ind w:left="6660" w:hanging="360"/>
      </w:pPr>
      <w:rPr>
        <w:rFonts w:ascii="Courier New" w:hAnsi="Courier New" w:cs="Courier New" w:hint="default"/>
      </w:rPr>
    </w:lvl>
    <w:lvl w:ilvl="8">
      <w:start w:val="1"/>
      <w:numFmt w:val="bullet"/>
      <w:lvlText w:val=""/>
      <w:lvlJc w:val="left"/>
      <w:pPr>
        <w:tabs>
          <w:tab w:val="num" w:pos="0"/>
        </w:tabs>
        <w:ind w:left="7380" w:hanging="360"/>
      </w:pPr>
      <w:rPr>
        <w:rFonts w:ascii="Wingdings" w:hAnsi="Wingdings" w:cs="Wingdings" w:hint="default"/>
      </w:rPr>
    </w:lvl>
  </w:abstractNum>
  <w:abstractNum w:abstractNumId="9">
    <w:lvl w:ilvl="0">
      <w:start w:val="4"/>
      <w:numFmt w:val="bullet"/>
      <w:lvlText w:val="-"/>
      <w:lvlJc w:val="left"/>
      <w:pPr>
        <w:tabs>
          <w:tab w:val="num" w:pos="0"/>
        </w:tabs>
        <w:ind w:left="360" w:hanging="360"/>
      </w:pPr>
      <w:rPr>
        <w:rFonts w:ascii="OpenSymbol" w:hAnsi="OpenSymbol" w:cs="Open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
    <w:lvl w:ilvl="0">
      <w:start w:val="1"/>
      <w:numFmt w:val="decimal"/>
      <w:lvlText w:val="%1."/>
      <w:lvlJc w:val="left"/>
      <w:pPr>
        <w:tabs>
          <w:tab w:val="num" w:pos="360"/>
        </w:tabs>
        <w:ind w:left="360" w:hanging="360"/>
      </w:pPr>
      <w:rPr>
        <w:sz w:val="20"/>
        <w:szCs w:val="20"/>
        <w:rFonts w:ascii="Arial" w:hAnsi="Arial" w:cs="Arial"/>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11">
    <w:lvl w:ilvl="0">
      <w:start w:val="1"/>
      <w:numFmt w:val="decimal"/>
      <w:lvlText w:val="%1."/>
      <w:lvlJc w:val="left"/>
      <w:pPr>
        <w:tabs>
          <w:tab w:val="num" w:pos="360"/>
        </w:tabs>
        <w:ind w:left="360" w:hanging="360"/>
      </w:pPr>
      <w:rPr>
        <w:sz w:val="20"/>
        <w:szCs w:val="20"/>
        <w:rFonts w:ascii="Arial" w:hAnsi="Arial" w:cs="Arial"/>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1"/>
    <w:lvlOverride w:ilvl="0">
      <w:startOverride w:val="1"/>
    </w:lvlOverride>
  </w:num>
  <w:num w:numId="14">
    <w:abstractNumId w:val="11"/>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hr-H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hr-H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qFormat="1"/>
    <w:lsdException w:name="footnote text" w:uiPriority="0" w:semiHidden="1" w:unhideWhenUsed="1"/>
    <w:lsdException w:name="annotation text" w:semiHidden="1" w:unhideWhenUsed="1" w:qFormat="1"/>
    <w:lsdException w:name="header"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qFormat="1"/>
    <w:lsdException w:name="line number" w:semiHidden="1" w:unhideWhenUsed="1"/>
    <w:lsdException w:name="page number" w:uiPriority="0"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uiPriority="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5fd4"/>
    <w:pPr>
      <w:widowControl/>
      <w:suppressAutoHyphens w:val="true"/>
      <w:bidi w:val="0"/>
      <w:spacing w:lineRule="auto" w:line="240" w:before="0" w:after="120"/>
      <w:jc w:val="both"/>
    </w:pPr>
    <w:rPr>
      <w:rFonts w:ascii="Calibri" w:hAnsi="Calibri" w:eastAsia="" w:cs="" w:eastAsiaTheme="minorEastAsia"/>
      <w:color w:val="auto"/>
      <w:kern w:val="0"/>
      <w:sz w:val="22"/>
      <w:szCs w:val="22"/>
      <w:lang w:val="hr-HR" w:eastAsia="hr-HR" w:bidi="ar-SA"/>
    </w:rPr>
  </w:style>
  <w:style w:type="paragraph" w:styleId="Heading1">
    <w:name w:val="heading 1"/>
    <w:basedOn w:val="Normal"/>
    <w:link w:val="Naslov1Char"/>
    <w:autoRedefine/>
    <w:uiPriority w:val="99"/>
    <w:qFormat/>
    <w:rsid w:val="00285519"/>
    <w:pPr>
      <w:keepNext w:val="true"/>
      <w:keepLines/>
      <w:widowControl w:val="false"/>
      <w:numPr>
        <w:ilvl w:val="0"/>
        <w:numId w:val="1"/>
      </w:numPr>
      <w:spacing w:before="240" w:after="0"/>
      <w:ind w:left="360"/>
      <w:outlineLvl w:val="0"/>
    </w:pPr>
    <w:rPr>
      <w:rFonts w:eastAsia="" w:cs="Calibri" w:cstheme="minorHAnsi" w:eastAsiaTheme="majorEastAsia"/>
      <w:b/>
      <w:bCs/>
      <w:color w:themeColor="accent1" w:val="4472C4"/>
    </w:rPr>
  </w:style>
  <w:style w:type="paragraph" w:styleId="Heading2">
    <w:name w:val="heading 2"/>
    <w:basedOn w:val="Normal"/>
    <w:link w:val="Naslov2Char"/>
    <w:autoRedefine/>
    <w:uiPriority w:val="99"/>
    <w:qFormat/>
    <w:rsid w:val="005634db"/>
    <w:pPr>
      <w:keepNext w:val="true"/>
      <w:keepLines/>
      <w:widowControl w:val="false"/>
      <w:spacing w:before="0" w:after="0"/>
      <w:outlineLvl w:val="1"/>
    </w:pPr>
    <w:rPr>
      <w:rFonts w:eastAsia="Calibri" w:cs="Calibri" w:cstheme="minorHAnsi"/>
      <w:b/>
      <w:bCs/>
      <w:color w:themeColor="accent1" w:val="4472C4"/>
      <w:sz w:val="28"/>
      <w:szCs w:val="28"/>
    </w:rPr>
  </w:style>
  <w:style w:type="paragraph" w:styleId="Heading3">
    <w:name w:val="heading 3"/>
    <w:basedOn w:val="Normal"/>
    <w:next w:val="Normal"/>
    <w:link w:val="Naslov3Char"/>
    <w:autoRedefine/>
    <w:uiPriority w:val="99"/>
    <w:unhideWhenUsed/>
    <w:qFormat/>
    <w:rsid w:val="003b19da"/>
    <w:pPr>
      <w:keepNext w:val="true"/>
      <w:keepLines/>
      <w:numPr>
        <w:ilvl w:val="1"/>
        <w:numId w:val="1"/>
      </w:numPr>
      <w:spacing w:before="240" w:after="120"/>
      <w:ind w:hanging="0" w:left="0"/>
      <w:outlineLvl w:val="2"/>
    </w:pPr>
    <w:rPr>
      <w:rFonts w:ascii="Calibri" w:hAnsi="Calibri" w:eastAsia="" w:cs="Calibri" w:eastAsiaTheme="majorEastAsia"/>
      <w:b/>
      <w:bCs/>
      <w:color w:themeColor="accent1" w:val="4472C4"/>
    </w:rPr>
  </w:style>
  <w:style w:type="paragraph" w:styleId="Heading4">
    <w:name w:val="heading 4"/>
    <w:basedOn w:val="Normal"/>
    <w:next w:val="Normal"/>
    <w:link w:val="Naslov4Char"/>
    <w:uiPriority w:val="99"/>
    <w:unhideWhenUsed/>
    <w:qFormat/>
    <w:rsid w:val="00f707ce"/>
    <w:pPr>
      <w:keepNext w:val="true"/>
      <w:keepLines/>
      <w:spacing w:before="200" w:after="0"/>
      <w:ind w:firstLine="170" w:left="924"/>
      <w:outlineLvl w:val="3"/>
    </w:pPr>
    <w:rPr>
      <w:rFonts w:eastAsia="" w:cs="" w:cstheme="majorBidi" w:eastAsiaTheme="majorEastAsia"/>
      <w:b/>
      <w:bCs/>
      <w:iCs/>
      <w:color w:themeColor="text1" w:val="000000"/>
      <w:sz w:val="24"/>
    </w:rPr>
  </w:style>
  <w:style w:type="paragraph" w:styleId="Heading5">
    <w:name w:val="heading 5"/>
    <w:basedOn w:val="Normal"/>
    <w:next w:val="Normal"/>
    <w:link w:val="Naslov5Char"/>
    <w:uiPriority w:val="99"/>
    <w:qFormat/>
    <w:rsid w:val="00f707ce"/>
    <w:pPr>
      <w:spacing w:before="240" w:after="60"/>
      <w:outlineLvl w:val="4"/>
    </w:pPr>
    <w:rPr>
      <w:rFonts w:ascii="Arial" w:hAnsi="Arial" w:eastAsia="Times New Roman" w:cs="Arial"/>
      <w:b/>
      <w:bCs/>
      <w:i/>
      <w:iCs/>
      <w:sz w:val="26"/>
      <w:szCs w:val="26"/>
    </w:rPr>
  </w:style>
  <w:style w:type="paragraph" w:styleId="Heading6">
    <w:name w:val="heading 6"/>
    <w:basedOn w:val="Normal"/>
    <w:next w:val="Normal"/>
    <w:link w:val="Naslov6Char"/>
    <w:unhideWhenUsed/>
    <w:qFormat/>
    <w:rsid w:val="00f707ce"/>
    <w:pPr>
      <w:keepNext w:val="true"/>
      <w:keepLines/>
      <w:spacing w:before="200" w:after="0"/>
      <w:outlineLvl w:val="5"/>
    </w:pPr>
    <w:rPr>
      <w:rFonts w:ascii="Calibri Light" w:hAnsi="Calibri Light" w:eastAsia="" w:cs="" w:asciiTheme="majorHAnsi" w:cstheme="majorBidi" w:eastAsiaTheme="majorEastAsia" w:hAnsiTheme="majorHAnsi"/>
      <w:i/>
      <w:iCs/>
      <w:color w:themeColor="accent1" w:themeShade="7f" w:val="1F3763"/>
      <w:sz w:val="20"/>
      <w:szCs w:val="20"/>
      <w:lang w:eastAsia="sl-SI"/>
    </w:rPr>
  </w:style>
  <w:style w:type="paragraph" w:styleId="Heading7">
    <w:name w:val="heading 7"/>
    <w:basedOn w:val="Normal"/>
    <w:next w:val="Normal"/>
    <w:link w:val="Naslov7Char"/>
    <w:uiPriority w:val="9"/>
    <w:semiHidden/>
    <w:unhideWhenUsed/>
    <w:qFormat/>
    <w:rsid w:val="00f707ce"/>
    <w:pPr>
      <w:keepNext w:val="true"/>
      <w:keepLines/>
      <w:spacing w:before="40" w:after="0"/>
      <w:outlineLvl w:val="6"/>
    </w:pPr>
    <w:rPr>
      <w:rFonts w:ascii="Calibri Light" w:hAnsi="Calibri Light" w:eastAsia="" w:cs="" w:asciiTheme="majorHAnsi" w:cstheme="majorBidi" w:eastAsiaTheme="majorEastAsia" w:hAnsiTheme="majorHAnsi"/>
      <w:i/>
      <w:iCs/>
      <w:color w:themeColor="accent1" w:themeShade="7f" w:val="1F3763"/>
    </w:rPr>
  </w:style>
  <w:style w:type="paragraph" w:styleId="Heading8">
    <w:name w:val="heading 8"/>
    <w:basedOn w:val="Normal"/>
    <w:next w:val="Normal"/>
    <w:link w:val="Naslov8Char"/>
    <w:uiPriority w:val="9"/>
    <w:semiHidden/>
    <w:unhideWhenUsed/>
    <w:qFormat/>
    <w:rsid w:val="00f707ce"/>
    <w:pPr>
      <w:keepNext w:val="true"/>
      <w:keepLines/>
      <w:spacing w:before="40" w:after="0"/>
      <w:outlineLvl w:val="7"/>
    </w:pPr>
    <w:rPr>
      <w:rFonts w:ascii="Calibri Light" w:hAnsi="Calibri Light" w:eastAsia="" w:cs="" w:asciiTheme="majorHAnsi" w:cstheme="majorBidi" w:eastAsiaTheme="majorEastAsia" w:hAnsiTheme="majorHAnsi"/>
      <w:color w:themeColor="text1" w:themeTint="d8" w:val="272727"/>
      <w:sz w:val="21"/>
      <w:szCs w:val="21"/>
    </w:rPr>
  </w:style>
  <w:style w:type="paragraph" w:styleId="Heading9">
    <w:name w:val="heading 9"/>
    <w:basedOn w:val="Normal"/>
    <w:next w:val="Normal"/>
    <w:link w:val="Naslov9Char"/>
    <w:uiPriority w:val="9"/>
    <w:semiHidden/>
    <w:unhideWhenUsed/>
    <w:qFormat/>
    <w:rsid w:val="00f707ce"/>
    <w:pPr>
      <w:keepNext w:val="true"/>
      <w:keepLines/>
      <w:spacing w:before="40" w:after="0"/>
      <w:outlineLvl w:val="8"/>
    </w:pPr>
    <w:rPr>
      <w:rFonts w:ascii="Calibri Light" w:hAnsi="Calibri Light" w:eastAsia="" w:cs="" w:asciiTheme="majorHAnsi" w:cstheme="majorBidi" w:eastAsiaTheme="majorEastAsia" w:hAnsiTheme="majorHAnsi"/>
      <w:i/>
      <w:iCs/>
      <w:color w:themeColor="text1" w:themeTint="d8" w:val="272727"/>
      <w:sz w:val="21"/>
      <w:szCs w:val="21"/>
    </w:rPr>
  </w:style>
  <w:style w:type="character" w:styleId="DefaultParagraphFont" w:default="1">
    <w:name w:val="Default Paragraph Font"/>
    <w:uiPriority w:val="1"/>
    <w:semiHidden/>
    <w:unhideWhenUsed/>
    <w:qFormat/>
    <w:rPr/>
  </w:style>
  <w:style w:type="character" w:styleId="Naslov1Char" w:customStyle="1">
    <w:name w:val="Naslov 1 Char"/>
    <w:basedOn w:val="DefaultParagraphFont"/>
    <w:link w:val="Heading1"/>
    <w:uiPriority w:val="99"/>
    <w:qFormat/>
    <w:rsid w:val="00285519"/>
    <w:rPr>
      <w:rFonts w:eastAsia="" w:cs="Calibri" w:cstheme="minorHAnsi" w:eastAsiaTheme="majorEastAsia"/>
      <w:b/>
      <w:bCs/>
      <w:color w:themeColor="accent1" w:val="4472C4"/>
      <w:lang w:eastAsia="hr-HR"/>
    </w:rPr>
  </w:style>
  <w:style w:type="character" w:styleId="Naslov2Char" w:customStyle="1">
    <w:name w:val="Naslov 2 Char"/>
    <w:basedOn w:val="DefaultParagraphFont"/>
    <w:link w:val="Heading2"/>
    <w:uiPriority w:val="99"/>
    <w:qFormat/>
    <w:rsid w:val="005634db"/>
    <w:rPr>
      <w:rFonts w:eastAsia="Calibri" w:cs="Calibri" w:cstheme="minorHAnsi"/>
      <w:b/>
      <w:bCs/>
      <w:color w:themeColor="accent1" w:val="4472C4"/>
      <w:sz w:val="28"/>
      <w:szCs w:val="28"/>
      <w:lang w:eastAsia="hr-HR"/>
    </w:rPr>
  </w:style>
  <w:style w:type="character" w:styleId="Naslov3Char" w:customStyle="1">
    <w:name w:val="Naslov 3 Char"/>
    <w:basedOn w:val="DefaultParagraphFont"/>
    <w:link w:val="Heading3"/>
    <w:uiPriority w:val="99"/>
    <w:qFormat/>
    <w:rsid w:val="003b19da"/>
    <w:rPr>
      <w:rFonts w:ascii="Calibri" w:hAnsi="Calibri" w:eastAsia="" w:cs="Calibri" w:eastAsiaTheme="majorEastAsia"/>
      <w:b/>
      <w:bCs/>
      <w:color w:themeColor="accent1" w:val="4472C4"/>
      <w:lang w:eastAsia="hr-HR"/>
    </w:rPr>
  </w:style>
  <w:style w:type="character" w:styleId="Naslov4Char" w:customStyle="1">
    <w:name w:val="Naslov 4 Char"/>
    <w:basedOn w:val="DefaultParagraphFont"/>
    <w:link w:val="Heading4"/>
    <w:uiPriority w:val="99"/>
    <w:qFormat/>
    <w:rsid w:val="00f707ce"/>
    <w:rPr>
      <w:rFonts w:eastAsia="" w:cs="" w:cstheme="majorBidi" w:eastAsiaTheme="majorEastAsia"/>
      <w:b/>
      <w:bCs/>
      <w:iCs/>
      <w:color w:themeColor="text1" w:val="000000"/>
      <w:sz w:val="24"/>
      <w:lang w:eastAsia="hr-HR"/>
    </w:rPr>
  </w:style>
  <w:style w:type="character" w:styleId="Naslov5Char" w:customStyle="1">
    <w:name w:val="Naslov 5 Char"/>
    <w:basedOn w:val="DefaultParagraphFont"/>
    <w:link w:val="Heading5"/>
    <w:uiPriority w:val="99"/>
    <w:qFormat/>
    <w:rsid w:val="00f707ce"/>
    <w:rPr>
      <w:rFonts w:ascii="Arial" w:hAnsi="Arial" w:eastAsia="Times New Roman" w:cs="Arial"/>
      <w:b/>
      <w:bCs/>
      <w:i/>
      <w:iCs/>
      <w:sz w:val="26"/>
      <w:szCs w:val="26"/>
      <w:lang w:eastAsia="hr-HR"/>
    </w:rPr>
  </w:style>
  <w:style w:type="character" w:styleId="Naslov6Char" w:customStyle="1">
    <w:name w:val="Naslov 6 Char"/>
    <w:basedOn w:val="DefaultParagraphFont"/>
    <w:link w:val="Heading6"/>
    <w:qFormat/>
    <w:rsid w:val="00f707ce"/>
    <w:rPr>
      <w:rFonts w:ascii="Calibri Light" w:hAnsi="Calibri Light" w:eastAsia="" w:cs="" w:asciiTheme="majorHAnsi" w:cstheme="majorBidi" w:eastAsiaTheme="majorEastAsia" w:hAnsiTheme="majorHAnsi"/>
      <w:i/>
      <w:iCs/>
      <w:color w:themeColor="accent1" w:themeShade="7f" w:val="1F3763"/>
      <w:sz w:val="20"/>
      <w:szCs w:val="20"/>
      <w:lang w:eastAsia="sl-SI"/>
    </w:rPr>
  </w:style>
  <w:style w:type="character" w:styleId="Naslov7Char" w:customStyle="1">
    <w:name w:val="Naslov 7 Char"/>
    <w:basedOn w:val="DefaultParagraphFont"/>
    <w:link w:val="Heading7"/>
    <w:uiPriority w:val="9"/>
    <w:semiHidden/>
    <w:qFormat/>
    <w:rsid w:val="00f707ce"/>
    <w:rPr>
      <w:rFonts w:ascii="Calibri Light" w:hAnsi="Calibri Light" w:eastAsia="" w:cs="" w:asciiTheme="majorHAnsi" w:cstheme="majorBidi" w:eastAsiaTheme="majorEastAsia" w:hAnsiTheme="majorHAnsi"/>
      <w:i/>
      <w:iCs/>
      <w:color w:themeColor="accent1" w:themeShade="7f" w:val="1F3763"/>
      <w:lang w:eastAsia="hr-HR"/>
    </w:rPr>
  </w:style>
  <w:style w:type="character" w:styleId="Naslov8Char" w:customStyle="1">
    <w:name w:val="Naslov 8 Char"/>
    <w:basedOn w:val="DefaultParagraphFont"/>
    <w:link w:val="Heading8"/>
    <w:uiPriority w:val="9"/>
    <w:semiHidden/>
    <w:qFormat/>
    <w:rsid w:val="00f707ce"/>
    <w:rPr>
      <w:rFonts w:ascii="Calibri Light" w:hAnsi="Calibri Light" w:eastAsia="" w:cs="" w:asciiTheme="majorHAnsi" w:cstheme="majorBidi" w:eastAsiaTheme="majorEastAsia" w:hAnsiTheme="majorHAnsi"/>
      <w:color w:themeColor="text1" w:themeTint="d8" w:val="272727"/>
      <w:sz w:val="21"/>
      <w:szCs w:val="21"/>
      <w:lang w:eastAsia="hr-HR"/>
    </w:rPr>
  </w:style>
  <w:style w:type="character" w:styleId="Naslov9Char" w:customStyle="1">
    <w:name w:val="Naslov 9 Char"/>
    <w:basedOn w:val="DefaultParagraphFont"/>
    <w:link w:val="Heading9"/>
    <w:uiPriority w:val="9"/>
    <w:semiHidden/>
    <w:qFormat/>
    <w:rsid w:val="00f707ce"/>
    <w:rPr>
      <w:rFonts w:ascii="Calibri Light" w:hAnsi="Calibri Light" w:eastAsia="" w:cs="" w:asciiTheme="majorHAnsi" w:cstheme="majorBidi" w:eastAsiaTheme="majorEastAsia" w:hAnsiTheme="majorHAnsi"/>
      <w:i/>
      <w:iCs/>
      <w:color w:themeColor="text1" w:themeTint="d8" w:val="272727"/>
      <w:sz w:val="21"/>
      <w:szCs w:val="21"/>
      <w:lang w:eastAsia="hr-HR"/>
    </w:rPr>
  </w:style>
  <w:style w:type="character" w:styleId="TekstbaloniaChar" w:customStyle="1">
    <w:name w:val="Tekst balončića Char"/>
    <w:basedOn w:val="DefaultParagraphFont"/>
    <w:link w:val="BalloonText"/>
    <w:uiPriority w:val="99"/>
    <w:semiHidden/>
    <w:qFormat/>
    <w:rsid w:val="00f707ce"/>
    <w:rPr>
      <w:rFonts w:ascii="Tahoma" w:hAnsi="Tahoma" w:eastAsia="" w:cs="Tahoma" w:eastAsiaTheme="minorEastAsia"/>
      <w:sz w:val="16"/>
      <w:szCs w:val="16"/>
      <w:lang w:eastAsia="hr-HR"/>
    </w:rPr>
  </w:style>
  <w:style w:type="character" w:styleId="ZaglavljeChar" w:customStyle="1">
    <w:name w:val="Zaglavlje Char"/>
    <w:basedOn w:val="DefaultParagraphFont"/>
    <w:link w:val="Header"/>
    <w:uiPriority w:val="99"/>
    <w:qFormat/>
    <w:rsid w:val="00f707ce"/>
    <w:rPr>
      <w:rFonts w:eastAsia="" w:eastAsiaTheme="minorEastAsia"/>
      <w:lang w:eastAsia="hr-HR"/>
    </w:rPr>
  </w:style>
  <w:style w:type="character" w:styleId="PodnojeChar" w:customStyle="1">
    <w:name w:val="Podnožje Char"/>
    <w:basedOn w:val="DefaultParagraphFont"/>
    <w:link w:val="Footer"/>
    <w:qFormat/>
    <w:rsid w:val="00f707ce"/>
    <w:rPr>
      <w:rFonts w:eastAsia="" w:eastAsiaTheme="minorEastAsia"/>
      <w:lang w:eastAsia="hr-HR"/>
    </w:rPr>
  </w:style>
  <w:style w:type="character" w:styleId="TijelotekstaChar" w:customStyle="1">
    <w:name w:val="Tijelo teksta Char"/>
    <w:basedOn w:val="DefaultParagraphFont"/>
    <w:uiPriority w:val="99"/>
    <w:qFormat/>
    <w:rsid w:val="00f707ce"/>
    <w:rPr>
      <w:rFonts w:ascii="Calibri" w:hAnsi="Calibri" w:eastAsia="Calibri" w:cs="Calibri"/>
      <w:szCs w:val="24"/>
      <w:lang w:eastAsia="hr-HR"/>
    </w:rPr>
  </w:style>
  <w:style w:type="character" w:styleId="Hyperlink">
    <w:name w:val="Hyperlink"/>
    <w:basedOn w:val="DefaultParagraphFont"/>
    <w:uiPriority w:val="99"/>
    <w:unhideWhenUsed/>
    <w:rsid w:val="00f707ce"/>
    <w:rPr>
      <w:color w:themeColor="hyperlink" w:val="0563C1"/>
      <w:u w:val="single"/>
    </w:rPr>
  </w:style>
  <w:style w:type="character" w:styleId="FollowedHyperlink">
    <w:name w:val="FollowedHyperlink"/>
    <w:basedOn w:val="DefaultParagraphFont"/>
    <w:uiPriority w:val="99"/>
    <w:semiHidden/>
    <w:unhideWhenUsed/>
    <w:rsid w:val="00f707ce"/>
    <w:rPr>
      <w:color w:themeColor="followedHyperlink" w:val="954F72"/>
      <w:u w:val="single"/>
    </w:rPr>
  </w:style>
  <w:style w:type="character" w:styleId="CommentReference">
    <w:name w:val="annotation reference"/>
    <w:basedOn w:val="DefaultParagraphFont"/>
    <w:uiPriority w:val="99"/>
    <w:unhideWhenUsed/>
    <w:qFormat/>
    <w:rsid w:val="00f707ce"/>
    <w:rPr>
      <w:sz w:val="16"/>
      <w:szCs w:val="16"/>
    </w:rPr>
  </w:style>
  <w:style w:type="character" w:styleId="TekstkomentaraChar" w:customStyle="1">
    <w:name w:val="Tekst komentara Char"/>
    <w:basedOn w:val="DefaultParagraphFont"/>
    <w:link w:val="CommentText"/>
    <w:uiPriority w:val="99"/>
    <w:qFormat/>
    <w:rsid w:val="00f707ce"/>
    <w:rPr>
      <w:rFonts w:eastAsia="" w:eastAsiaTheme="minorEastAsia"/>
      <w:sz w:val="20"/>
      <w:szCs w:val="20"/>
      <w:lang w:eastAsia="hr-HR"/>
    </w:rPr>
  </w:style>
  <w:style w:type="character" w:styleId="PredmetkomentaraChar" w:customStyle="1">
    <w:name w:val="Predmet komentara Char"/>
    <w:basedOn w:val="TekstkomentaraChar"/>
    <w:link w:val="annotationsubject"/>
    <w:uiPriority w:val="99"/>
    <w:semiHidden/>
    <w:qFormat/>
    <w:rsid w:val="00f707ce"/>
    <w:rPr>
      <w:rFonts w:eastAsia="" w:eastAsiaTheme="minorEastAsia"/>
      <w:b/>
      <w:bCs/>
      <w:sz w:val="20"/>
      <w:szCs w:val="20"/>
      <w:lang w:eastAsia="hr-HR"/>
    </w:rPr>
  </w:style>
  <w:style w:type="character" w:styleId="BezproredaChar" w:customStyle="1">
    <w:name w:val="Bez proreda Char"/>
    <w:link w:val="NoSpacing"/>
    <w:uiPriority w:val="1"/>
    <w:qFormat/>
    <w:rsid w:val="00f707ce"/>
    <w:rPr>
      <w:rFonts w:ascii="Calibri" w:hAnsi="Calibri" w:eastAsia="Calibri" w:cs="Times New Roman"/>
      <w:lang w:val="en-GB"/>
    </w:rPr>
  </w:style>
  <w:style w:type="character" w:styleId="OdlomakpopisaChar" w:customStyle="1">
    <w:name w:val="Odlomak popisa Char"/>
    <w:basedOn w:val="DefaultParagraphFont"/>
    <w:link w:val="ListParagraph"/>
    <w:uiPriority w:val="34"/>
    <w:qFormat/>
    <w:locked/>
    <w:rsid w:val="00f707ce"/>
    <w:rPr>
      <w:rFonts w:eastAsia="" w:eastAsiaTheme="minorEastAsia"/>
      <w:lang w:eastAsia="hr-HR"/>
    </w:rPr>
  </w:style>
  <w:style w:type="character" w:styleId="UnresolvedMention1" w:customStyle="1">
    <w:name w:val="Unresolved Mention1"/>
    <w:basedOn w:val="DefaultParagraphFont"/>
    <w:uiPriority w:val="99"/>
    <w:semiHidden/>
    <w:unhideWhenUsed/>
    <w:qFormat/>
    <w:rsid w:val="00f707ce"/>
    <w:rPr>
      <w:color w:val="808080"/>
      <w:shd w:fill="E6E6E6" w:val="clear"/>
    </w:rPr>
  </w:style>
  <w:style w:type="character" w:styleId="UnresolvedMention2" w:customStyle="1">
    <w:name w:val="Unresolved Mention2"/>
    <w:basedOn w:val="DefaultParagraphFont"/>
    <w:uiPriority w:val="99"/>
    <w:semiHidden/>
    <w:unhideWhenUsed/>
    <w:qFormat/>
    <w:rsid w:val="00f707ce"/>
    <w:rPr>
      <w:color w:val="808080"/>
      <w:shd w:fill="E6E6E6" w:val="clear"/>
    </w:rPr>
  </w:style>
  <w:style w:type="character" w:styleId="UnresolvedMention3" w:customStyle="1">
    <w:name w:val="Unresolved Mention3"/>
    <w:basedOn w:val="DefaultParagraphFont"/>
    <w:uiPriority w:val="99"/>
    <w:semiHidden/>
    <w:unhideWhenUsed/>
    <w:qFormat/>
    <w:rsid w:val="00f707ce"/>
    <w:rPr>
      <w:color w:val="605E5C"/>
      <w:shd w:fill="E1DFDD" w:val="clear"/>
    </w:rPr>
  </w:style>
  <w:style w:type="character" w:styleId="UnresolvedMention4" w:customStyle="1">
    <w:name w:val="Unresolved Mention4"/>
    <w:basedOn w:val="DefaultParagraphFont"/>
    <w:uiPriority w:val="99"/>
    <w:semiHidden/>
    <w:unhideWhenUsed/>
    <w:qFormat/>
    <w:rsid w:val="00f707ce"/>
    <w:rPr>
      <w:color w:val="605E5C"/>
      <w:shd w:fill="E1DFDD" w:val="clear"/>
    </w:rPr>
  </w:style>
  <w:style w:type="character" w:styleId="TekstfusnoteChar" w:customStyle="1">
    <w:name w:val="Tekst fusnote Char"/>
    <w:basedOn w:val="DefaultParagraphFont"/>
    <w:link w:val="FootnoteText"/>
    <w:qFormat/>
    <w:rsid w:val="00f707ce"/>
    <w:rPr>
      <w:rFonts w:ascii="Arial" w:hAnsi="Arial" w:eastAsia="Times New Roman" w:cs="Arial"/>
      <w:color w:val="000000"/>
      <w:sz w:val="20"/>
      <w:szCs w:val="20"/>
      <w:lang w:val="en-GB"/>
    </w:rPr>
  </w:style>
  <w:style w:type="character" w:styleId="FootnoteCharactersuser">
    <w:name w:val="Footnote Characters (user)"/>
    <w:basedOn w:val="DefaultParagraphFont"/>
    <w:qFormat/>
    <w:rsid w:val="00f707ce"/>
    <w:rPr>
      <w:vertAlign w:val="superscript"/>
    </w:rPr>
  </w:style>
  <w:style w:type="character" w:styleId="FootnoteCharacters" w:customStyle="1">
    <w:name w:val="Footnote Characters"/>
    <w:basedOn w:val="DefaultParagraphFont"/>
    <w:qFormat/>
    <w:rsid w:val="00f707ce"/>
    <w:rPr>
      <w:vertAlign w:val="superscript"/>
    </w:rPr>
  </w:style>
  <w:style w:type="character" w:styleId="FootnoteReference">
    <w:name w:val="footnote reference"/>
    <w:rPr>
      <w:vertAlign w:val="superscript"/>
    </w:rPr>
  </w:style>
  <w:style w:type="character" w:styleId="Nerijeenospominjanje1" w:customStyle="1">
    <w:name w:val="Neriješeno spominjanje1"/>
    <w:basedOn w:val="DefaultParagraphFont"/>
    <w:uiPriority w:val="99"/>
    <w:semiHidden/>
    <w:unhideWhenUsed/>
    <w:qFormat/>
    <w:rsid w:val="00f707ce"/>
    <w:rPr>
      <w:color w:val="605E5C"/>
      <w:shd w:fill="E1DFDD" w:val="clear"/>
    </w:rPr>
  </w:style>
  <w:style w:type="character" w:styleId="normalKKPChar" w:customStyle="1">
    <w:name w:val="normal_KKP Char"/>
    <w:basedOn w:val="DefaultParagraphFont"/>
    <w:link w:val="normalKKP"/>
    <w:qFormat/>
    <w:rsid w:val="00f707ce"/>
    <w:rPr>
      <w:rFonts w:ascii="Tahoma" w:hAnsi="Tahoma" w:eastAsia="Times New Roman" w:cs="Tahoma"/>
      <w:sz w:val="20"/>
      <w:szCs w:val="20"/>
      <w:lang w:eastAsia="sl-SI"/>
    </w:rPr>
  </w:style>
  <w:style w:type="character" w:styleId="HeaderChar1" w:customStyle="1">
    <w:name w:val="Header Char1"/>
    <w:uiPriority w:val="99"/>
    <w:qFormat/>
    <w:locked/>
    <w:rsid w:val="00f707ce"/>
    <w:rPr>
      <w:sz w:val="24"/>
      <w:szCs w:val="24"/>
      <w:lang w:val="en-GB" w:eastAsia="sl-SI"/>
    </w:rPr>
  </w:style>
  <w:style w:type="character" w:styleId="PageNumber">
    <w:name w:val="page number"/>
    <w:basedOn w:val="DefaultParagraphFont"/>
    <w:qFormat/>
    <w:rsid w:val="00f707ce"/>
    <w:rPr/>
  </w:style>
  <w:style w:type="character" w:styleId="BodyTextChar1" w:customStyle="1">
    <w:name w:val="Body Text Char1"/>
    <w:uiPriority w:val="99"/>
    <w:qFormat/>
    <w:locked/>
    <w:rsid w:val="00f707ce"/>
    <w:rPr>
      <w:rFonts w:ascii="Arial" w:hAnsi="Arial" w:cs="Arial"/>
      <w:lang w:val="sl-SI" w:eastAsia="en-US"/>
    </w:rPr>
  </w:style>
  <w:style w:type="character" w:styleId="ZnakChar2" w:customStyle="1">
    <w:name w:val="Znak Char2"/>
    <w:uiPriority w:val="99"/>
    <w:qFormat/>
    <w:locked/>
    <w:rsid w:val="00f707ce"/>
    <w:rPr>
      <w:rFonts w:ascii="Arial" w:hAnsi="Arial" w:cs="Arial"/>
      <w:lang w:val="en-GB" w:eastAsia="sl-SI"/>
    </w:rPr>
  </w:style>
  <w:style w:type="character" w:styleId="Internetskapoveznica" w:customStyle="1">
    <w:name w:val="Internetska poveznica"/>
    <w:basedOn w:val="DefaultParagraphFont"/>
    <w:uiPriority w:val="99"/>
    <w:qFormat/>
    <w:rsid w:val="00f707ce"/>
    <w:rPr>
      <w:color w:val="0000FF"/>
      <w:u w:val="single"/>
    </w:rPr>
  </w:style>
  <w:style w:type="character" w:styleId="OdstavekseznamaZnak" w:customStyle="1">
    <w:name w:val="Odstavek seznama Znak"/>
    <w:link w:val="Odstavekseznama1"/>
    <w:uiPriority w:val="34"/>
    <w:qFormat/>
    <w:locked/>
    <w:rsid w:val="00f707ce"/>
    <w:rPr>
      <w:sz w:val="24"/>
      <w:szCs w:val="24"/>
      <w:lang w:val="en-GB"/>
    </w:rPr>
  </w:style>
  <w:style w:type="character" w:styleId="Sidrofusnote" w:customStyle="1">
    <w:name w:val="Sidro fusnote"/>
    <w:qFormat/>
    <w:rsid w:val="00f707ce"/>
    <w:rPr>
      <w:vertAlign w:val="superscript"/>
    </w:rPr>
  </w:style>
  <w:style w:type="character" w:styleId="Tijeloteksta2Char" w:customStyle="1">
    <w:name w:val="Tijelo teksta 2 Char"/>
    <w:basedOn w:val="DefaultParagraphFont"/>
    <w:link w:val="BodyText2"/>
    <w:uiPriority w:val="99"/>
    <w:qFormat/>
    <w:locked/>
    <w:rsid w:val="00f707ce"/>
    <w:rPr>
      <w:rFonts w:ascii="Arial" w:hAnsi="Arial" w:cs="Arial"/>
      <w:sz w:val="24"/>
      <w:szCs w:val="24"/>
    </w:rPr>
  </w:style>
  <w:style w:type="character" w:styleId="Tijeloteksta2Char1" w:customStyle="1">
    <w:name w:val="Tijelo teksta 2 Char1"/>
    <w:basedOn w:val="DefaultParagraphFont"/>
    <w:uiPriority w:val="99"/>
    <w:semiHidden/>
    <w:qFormat/>
    <w:rsid w:val="00f707ce"/>
    <w:rPr>
      <w:rFonts w:eastAsia="" w:eastAsiaTheme="minorEastAsia"/>
      <w:lang w:eastAsia="hr-HR"/>
    </w:rPr>
  </w:style>
  <w:style w:type="character" w:styleId="BodyText2Char1" w:customStyle="1">
    <w:name w:val="Body Text 2 Char1"/>
    <w:basedOn w:val="DefaultParagraphFont"/>
    <w:uiPriority w:val="99"/>
    <w:semiHidden/>
    <w:qFormat/>
    <w:rsid w:val="00f707ce"/>
    <w:rPr/>
  </w:style>
  <w:style w:type="character" w:styleId="TD-TitlePageTenderDossierChar" w:customStyle="1">
    <w:name w:val="TD-Title Page Tender Dossier Char"/>
    <w:uiPriority w:val="99"/>
    <w:qFormat/>
    <w:locked/>
    <w:rsid w:val="00f707ce"/>
    <w:rPr>
      <w:rFonts w:ascii="Arial" w:hAnsi="Arial" w:cs="Arial"/>
      <w:b/>
      <w:bCs/>
      <w:caps/>
      <w:sz w:val="40"/>
      <w:szCs w:val="40"/>
      <w:lang w:val="en-US" w:eastAsia="en-US"/>
    </w:rPr>
  </w:style>
  <w:style w:type="character" w:styleId="BodyTextBoldCenter14pChar" w:customStyle="1">
    <w:name w:val="Body Text_Bold_Center_14p Char"/>
    <w:link w:val="BodyTextBoldCenter14p"/>
    <w:uiPriority w:val="99"/>
    <w:qFormat/>
    <w:locked/>
    <w:rsid w:val="00f707ce"/>
    <w:rPr>
      <w:rFonts w:ascii="Calibri" w:hAnsi="Calibri" w:cs="Calibri"/>
      <w:b/>
      <w:bCs/>
      <w:sz w:val="28"/>
      <w:szCs w:val="28"/>
    </w:rPr>
  </w:style>
  <w:style w:type="character" w:styleId="Emphasis">
    <w:name w:val="Emphasis"/>
    <w:basedOn w:val="DefaultParagraphFont"/>
    <w:uiPriority w:val="99"/>
    <w:qFormat/>
    <w:rsid w:val="00f707ce"/>
    <w:rPr>
      <w:b/>
      <w:bCs/>
    </w:rPr>
  </w:style>
  <w:style w:type="character" w:styleId="st1" w:customStyle="1">
    <w:name w:val="st1"/>
    <w:uiPriority w:val="99"/>
    <w:qFormat/>
    <w:rsid w:val="00f707ce"/>
    <w:rPr/>
  </w:style>
  <w:style w:type="character" w:styleId="NormalBoldChar" w:customStyle="1">
    <w:name w:val="NormalBold Char"/>
    <w:link w:val="NormalBold"/>
    <w:qFormat/>
    <w:locked/>
    <w:rsid w:val="00f707ce"/>
    <w:rPr>
      <w:b/>
      <w:sz w:val="24"/>
      <w:lang w:eastAsia="en-GB"/>
    </w:rPr>
  </w:style>
  <w:style w:type="character" w:styleId="DeltaViewInsertion" w:customStyle="1">
    <w:name w:val="DeltaView Insertion"/>
    <w:qFormat/>
    <w:rsid w:val="00f707ce"/>
    <w:rPr>
      <w:b/>
      <w:i/>
      <w:spacing w:val="0"/>
    </w:rPr>
  </w:style>
  <w:style w:type="character" w:styleId="Strong">
    <w:name w:val="Strong"/>
    <w:basedOn w:val="DefaultParagraphFont"/>
    <w:uiPriority w:val="22"/>
    <w:qFormat/>
    <w:rsid w:val="00f707ce"/>
    <w:rPr>
      <w:b/>
      <w:bCs/>
    </w:rPr>
  </w:style>
  <w:style w:type="character" w:styleId="crticeChar" w:customStyle="1">
    <w:name w:val="crtice Char"/>
    <w:basedOn w:val="normalKKPChar"/>
    <w:qFormat/>
    <w:rsid w:val="00f707ce"/>
    <w:rPr>
      <w:rFonts w:ascii="Tahoma" w:hAnsi="Tahoma" w:eastAsia="Times New Roman" w:cs="Tahoma"/>
      <w:sz w:val="20"/>
      <w:szCs w:val="20"/>
      <w:lang w:eastAsia="sl-SI"/>
    </w:rPr>
  </w:style>
  <w:style w:type="character" w:styleId="normalKKPChar1" w:customStyle="1">
    <w:name w:val="normal KKP Char"/>
    <w:basedOn w:val="DefaultParagraphFont"/>
    <w:qFormat/>
    <w:rsid w:val="00f707ce"/>
    <w:rPr>
      <w:rFonts w:ascii="Tahoma" w:hAnsi="Tahoma" w:cs="Arial"/>
      <w:sz w:val="20"/>
      <w:szCs w:val="20"/>
      <w:lang w:eastAsia="sl-SI"/>
    </w:rPr>
  </w:style>
  <w:style w:type="character" w:styleId="00KKPChar" w:customStyle="1">
    <w:name w:val="00_KKP Char"/>
    <w:basedOn w:val="DefaultParagraphFont"/>
    <w:link w:val="00KKP"/>
    <w:qFormat/>
    <w:rsid w:val="00f707ce"/>
    <w:rPr>
      <w:rFonts w:ascii="Tahoma" w:hAnsi="Tahoma" w:cs="Arial"/>
      <w:sz w:val="20"/>
      <w:szCs w:val="20"/>
      <w:lang w:eastAsia="sl-SI"/>
    </w:rPr>
  </w:style>
  <w:style w:type="character" w:styleId="Indeksirajvezu" w:customStyle="1">
    <w:name w:val="Indeksiraj vezu"/>
    <w:qFormat/>
    <w:rsid w:val="00f707ce"/>
    <w:rPr/>
  </w:style>
  <w:style w:type="character" w:styleId="Znakovifusnote" w:customStyle="1">
    <w:name w:val="Znakovi fusnote"/>
    <w:qFormat/>
    <w:rsid w:val="00f707ce"/>
    <w:rPr/>
  </w:style>
  <w:style w:type="character" w:styleId="Sidrozavrnebiljeke" w:customStyle="1">
    <w:name w:val="Sidro završne bilješke"/>
    <w:qFormat/>
    <w:rsid w:val="00f707ce"/>
    <w:rPr>
      <w:vertAlign w:val="superscript"/>
    </w:rPr>
  </w:style>
  <w:style w:type="character" w:styleId="Znakovioznaavanjazavrnihbiljeki" w:customStyle="1">
    <w:name w:val="Znakovi označavanja završnih bilješki"/>
    <w:qFormat/>
    <w:rsid w:val="00f707ce"/>
    <w:rPr/>
  </w:style>
  <w:style w:type="character" w:styleId="kurziv" w:customStyle="1">
    <w:name w:val="kurziv"/>
    <w:basedOn w:val="DefaultParagraphFont"/>
    <w:qFormat/>
    <w:rsid w:val="00f707ce"/>
    <w:rPr/>
  </w:style>
  <w:style w:type="character" w:styleId="KartadokumentaChar" w:customStyle="1">
    <w:name w:val="Karta dokumenta Char"/>
    <w:basedOn w:val="DefaultParagraphFont"/>
    <w:link w:val="DocumentMap"/>
    <w:uiPriority w:val="99"/>
    <w:semiHidden/>
    <w:qFormat/>
    <w:rsid w:val="00f707ce"/>
    <w:rPr>
      <w:rFonts w:ascii="Tahoma" w:hAnsi="Tahoma" w:eastAsia="Times New Roman" w:cs="Tahoma"/>
      <w:sz w:val="16"/>
      <w:szCs w:val="16"/>
      <w:lang w:eastAsia="sl-SI"/>
    </w:rPr>
  </w:style>
  <w:style w:type="character" w:styleId="UnresolvedMention5" w:customStyle="1">
    <w:name w:val="Unresolved Mention5"/>
    <w:basedOn w:val="DefaultParagraphFont"/>
    <w:uiPriority w:val="99"/>
    <w:semiHidden/>
    <w:unhideWhenUsed/>
    <w:qFormat/>
    <w:rsid w:val="00f707ce"/>
    <w:rPr>
      <w:color w:val="605E5C"/>
      <w:shd w:fill="E1DFDD" w:val="clear"/>
    </w:rPr>
  </w:style>
  <w:style w:type="character" w:styleId="UnresolvedMention">
    <w:name w:val="Unresolved Mention"/>
    <w:basedOn w:val="DefaultParagraphFont"/>
    <w:uiPriority w:val="99"/>
    <w:semiHidden/>
    <w:unhideWhenUsed/>
    <w:qFormat/>
    <w:rsid w:val="00f707ce"/>
    <w:rPr>
      <w:color w:val="605E5C"/>
      <w:shd w:fill="E1DFDD" w:val="clear"/>
    </w:rPr>
  </w:style>
  <w:style w:type="character" w:styleId="BodyTextBoldheadingChar" w:customStyle="1">
    <w:name w:val="Body Text Bold heading Char"/>
    <w:link w:val="BodyTextBoldheading"/>
    <w:qFormat/>
    <w:rsid w:val="00f707ce"/>
    <w:rPr>
      <w:rFonts w:ascii="Calibri" w:hAnsi="Calibri" w:eastAsia="Arial Unicode MS"/>
      <w:b/>
      <w:lang w:val="en-GB"/>
    </w:rPr>
  </w:style>
  <w:style w:type="character" w:styleId="DefaultChar" w:customStyle="1">
    <w:name w:val="Default Char"/>
    <w:link w:val="Default"/>
    <w:qFormat/>
    <w:rsid w:val="00f707ce"/>
    <w:rPr>
      <w:rFonts w:ascii="Calibri" w:hAnsi="Calibri" w:eastAsia="" w:cs="Calibri" w:eastAsiaTheme="minorEastAsia"/>
      <w:color w:val="000000"/>
      <w:sz w:val="24"/>
      <w:szCs w:val="24"/>
      <w:lang w:eastAsia="hr-HR"/>
    </w:rPr>
  </w:style>
  <w:style w:type="character" w:styleId="IntenseReference">
    <w:name w:val="Intense Reference"/>
    <w:uiPriority w:val="32"/>
    <w:qFormat/>
    <w:rsid w:val="00ac0dd7"/>
    <w:rPr>
      <w:b/>
      <w:bCs/>
      <w:smallCaps/>
      <w:u w:val="single"/>
    </w:rPr>
  </w:style>
  <w:style w:type="character" w:styleId="Bodytext" w:customStyle="1">
    <w:name w:val="Body text_"/>
    <w:link w:val="Tijeloteksta3"/>
    <w:qFormat/>
    <w:rsid w:val="001e4cee"/>
    <w:rPr>
      <w:rFonts w:eastAsia="Times New Roman"/>
      <w:sz w:val="23"/>
      <w:szCs w:val="23"/>
      <w:shd w:fill="FFFFFF" w:val="clear"/>
    </w:rPr>
  </w:style>
  <w:style w:type="character" w:styleId="2012TEXTChar" w:customStyle="1">
    <w:name w:val="2012_TEXT Char"/>
    <w:link w:val="2012TEXT"/>
    <w:qFormat/>
    <w:rsid w:val="00624955"/>
    <w:rPr>
      <w:rFonts w:ascii="Arial" w:hAnsi="Arial" w:eastAsia="Times New Roman" w:cs="Times New Roman"/>
      <w:sz w:val="20"/>
      <w:szCs w:val="20"/>
    </w:rPr>
  </w:style>
  <w:style w:type="paragraph" w:styleId="Heading">
    <w:name w:val="Heading"/>
    <w:basedOn w:val="Normal"/>
    <w:next w:val="BodyText1"/>
    <w:qFormat/>
    <w:pPr>
      <w:keepNext w:val="true"/>
      <w:spacing w:before="240" w:after="120"/>
    </w:pPr>
    <w:rPr>
      <w:rFonts w:ascii="Liberation Sans" w:hAnsi="Liberation Sans" w:eastAsia="Microsoft YaHei" w:cs="Arial"/>
      <w:sz w:val="28"/>
      <w:szCs w:val="28"/>
    </w:rPr>
  </w:style>
  <w:style w:type="paragraph" w:styleId="BodyText1">
    <w:name w:val="Body Text"/>
    <w:basedOn w:val="Normal"/>
    <w:link w:val="TijelotekstaChar"/>
    <w:uiPriority w:val="99"/>
    <w:qFormat/>
    <w:rsid w:val="00f707ce"/>
    <w:pPr/>
    <w:rPr>
      <w:rFonts w:ascii="Calibri" w:hAnsi="Calibri" w:eastAsia="Calibri" w:cs="Calibri"/>
      <w:szCs w:val="24"/>
    </w:rPr>
  </w:style>
  <w:style w:type="paragraph" w:styleId="List">
    <w:name w:val="List"/>
    <w:basedOn w:val="BodyText1"/>
    <w:rsid w:val="00f707ce"/>
    <w:pPr>
      <w:spacing w:before="0" w:after="0"/>
    </w:pPr>
    <w:rPr>
      <w:rFonts w:ascii="Tahoma" w:hAnsi="Tahoma" w:eastAsia="Times New Roman" w:cs="Arial"/>
      <w:sz w:val="20"/>
      <w:szCs w:val="20"/>
      <w:lang w:eastAsia="en-US"/>
    </w:rPr>
  </w:style>
  <w:style w:type="paragraph" w:styleId="Caption">
    <w:name w:val="caption"/>
    <w:basedOn w:val="Normal"/>
    <w:next w:val="Normal"/>
    <w:unhideWhenUsed/>
    <w:qFormat/>
    <w:rsid w:val="00f707ce"/>
    <w:pPr/>
    <w:rPr>
      <w:b/>
      <w:bCs/>
      <w:color w:themeColor="accent1" w:val="4472C4"/>
      <w:sz w:val="18"/>
      <w:szCs w:val="18"/>
    </w:rPr>
  </w:style>
  <w:style w:type="paragraph" w:styleId="Index">
    <w:name w:val="Index"/>
    <w:basedOn w:val="Normal"/>
    <w:qFormat/>
    <w:pPr>
      <w:suppressLineNumbers/>
    </w:pPr>
    <w:rPr>
      <w:rFonts w:cs="Arial"/>
    </w:rPr>
  </w:style>
  <w:style w:type="paragraph" w:styleId="BalloonText">
    <w:name w:val="Balloon Text"/>
    <w:basedOn w:val="Normal"/>
    <w:link w:val="TekstbaloniaChar"/>
    <w:uiPriority w:val="99"/>
    <w:semiHidden/>
    <w:unhideWhenUsed/>
    <w:qFormat/>
    <w:rsid w:val="00f707ce"/>
    <w:pPr>
      <w:spacing w:before="0" w:after="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ZaglavljeChar"/>
    <w:uiPriority w:val="99"/>
    <w:unhideWhenUsed/>
    <w:rsid w:val="00f707ce"/>
    <w:pPr>
      <w:tabs>
        <w:tab w:val="clear" w:pos="708"/>
        <w:tab w:val="center" w:pos="4536" w:leader="none"/>
        <w:tab w:val="right" w:pos="9072" w:leader="none"/>
      </w:tabs>
      <w:spacing w:before="0" w:after="0"/>
    </w:pPr>
    <w:rPr/>
  </w:style>
  <w:style w:type="paragraph" w:styleId="Footer">
    <w:name w:val="footer"/>
    <w:basedOn w:val="Normal"/>
    <w:link w:val="PodnojeChar"/>
    <w:unhideWhenUsed/>
    <w:rsid w:val="00f707ce"/>
    <w:pPr>
      <w:tabs>
        <w:tab w:val="clear" w:pos="708"/>
        <w:tab w:val="center" w:pos="4536" w:leader="none"/>
        <w:tab w:val="right" w:pos="9072" w:leader="none"/>
      </w:tabs>
      <w:spacing w:before="0" w:after="0"/>
    </w:pPr>
    <w:rPr/>
  </w:style>
  <w:style w:type="paragraph" w:styleId="ListParagraph">
    <w:name w:val="List Paragraph"/>
    <w:basedOn w:val="Normal"/>
    <w:link w:val="OdlomakpopisaChar"/>
    <w:uiPriority w:val="34"/>
    <w:qFormat/>
    <w:rsid w:val="00f707ce"/>
    <w:pPr>
      <w:ind w:left="720"/>
    </w:pPr>
    <w:rPr/>
  </w:style>
  <w:style w:type="paragraph" w:styleId="IndexHeading">
    <w:name w:val="index heading"/>
    <w:basedOn w:val="Heading"/>
    <w:pPr/>
    <w:rPr/>
  </w:style>
  <w:style w:type="paragraph" w:styleId="TOCHeading">
    <w:name w:val="TOC Heading"/>
    <w:basedOn w:val="Heading1"/>
    <w:next w:val="Normal"/>
    <w:uiPriority w:val="39"/>
    <w:unhideWhenUsed/>
    <w:qFormat/>
    <w:rsid w:val="00f707ce"/>
    <w:pPr>
      <w:outlineLvl w:val="9"/>
    </w:pPr>
    <w:rPr>
      <w:rFonts w:ascii="Calibri Light" w:hAnsi="Calibri Light" w:asciiTheme="majorHAnsi" w:hAnsiTheme="majorHAnsi"/>
    </w:rPr>
  </w:style>
  <w:style w:type="paragraph" w:styleId="TOC2">
    <w:name w:val="toc 2"/>
    <w:basedOn w:val="Normal"/>
    <w:next w:val="Normal"/>
    <w:autoRedefine/>
    <w:uiPriority w:val="39"/>
    <w:unhideWhenUsed/>
    <w:qFormat/>
    <w:rsid w:val="00f707ce"/>
    <w:pPr>
      <w:tabs>
        <w:tab w:val="clear" w:pos="708"/>
        <w:tab w:val="left" w:pos="454" w:leader="none"/>
        <w:tab w:val="right" w:pos="9062" w:leader="dot"/>
      </w:tabs>
      <w:spacing w:before="0" w:after="20"/>
      <w:jc w:val="left"/>
    </w:pPr>
    <w:rPr>
      <w:sz w:val="20"/>
    </w:rPr>
  </w:style>
  <w:style w:type="paragraph" w:styleId="TOC1">
    <w:name w:val="toc 1"/>
    <w:basedOn w:val="Normal"/>
    <w:next w:val="Normal"/>
    <w:autoRedefine/>
    <w:uiPriority w:val="39"/>
    <w:unhideWhenUsed/>
    <w:qFormat/>
    <w:rsid w:val="00f707ce"/>
    <w:pPr>
      <w:keepNext w:val="true"/>
      <w:widowControl w:val="false"/>
      <w:tabs>
        <w:tab w:val="clear" w:pos="708"/>
        <w:tab w:val="left" w:pos="440" w:leader="none"/>
        <w:tab w:val="right" w:pos="9062" w:leader="dot"/>
      </w:tabs>
      <w:spacing w:before="180" w:after="120"/>
    </w:pPr>
    <w:rPr>
      <w:b/>
      <w:color w:themeColor="accent1" w:themeShade="80" w:val="1F3864"/>
      <w:sz w:val="21"/>
    </w:rPr>
  </w:style>
  <w:style w:type="paragraph" w:styleId="TOC3">
    <w:name w:val="toc 3"/>
    <w:basedOn w:val="Normal"/>
    <w:next w:val="Normal"/>
    <w:autoRedefine/>
    <w:uiPriority w:val="39"/>
    <w:unhideWhenUsed/>
    <w:qFormat/>
    <w:rsid w:val="00f707ce"/>
    <w:pPr>
      <w:spacing w:before="0" w:after="100"/>
      <w:ind w:left="440"/>
    </w:pPr>
    <w:rPr/>
  </w:style>
  <w:style w:type="paragraph" w:styleId="TOC4">
    <w:name w:val="toc 4"/>
    <w:basedOn w:val="Normal"/>
    <w:next w:val="Normal"/>
    <w:autoRedefine/>
    <w:uiPriority w:val="39"/>
    <w:unhideWhenUsed/>
    <w:rsid w:val="00f707ce"/>
    <w:pPr>
      <w:spacing w:before="0" w:after="100"/>
      <w:ind w:left="660"/>
    </w:pPr>
    <w:rPr/>
  </w:style>
  <w:style w:type="paragraph" w:styleId="TableParagraph" w:customStyle="1">
    <w:name w:val="Table Paragraph"/>
    <w:basedOn w:val="Normal"/>
    <w:uiPriority w:val="1"/>
    <w:qFormat/>
    <w:rsid w:val="00f707ce"/>
    <w:pPr>
      <w:widowControl w:val="false"/>
      <w:spacing w:before="0" w:after="0"/>
    </w:pPr>
    <w:rPr>
      <w:rFonts w:ascii="Times New Roman" w:hAnsi="Times New Roman" w:eastAsia="Times New Roman" w:cs="Times New Roman"/>
    </w:rPr>
  </w:style>
  <w:style w:type="paragraph" w:styleId="TOC5">
    <w:name w:val="toc 5"/>
    <w:basedOn w:val="Normal"/>
    <w:next w:val="Normal"/>
    <w:autoRedefine/>
    <w:uiPriority w:val="39"/>
    <w:unhideWhenUsed/>
    <w:rsid w:val="00f707ce"/>
    <w:pPr>
      <w:spacing w:before="0" w:after="100"/>
      <w:ind w:left="880"/>
    </w:pPr>
    <w:rPr/>
  </w:style>
  <w:style w:type="paragraph" w:styleId="TOC6">
    <w:name w:val="toc 6"/>
    <w:basedOn w:val="Normal"/>
    <w:next w:val="Normal"/>
    <w:autoRedefine/>
    <w:uiPriority w:val="39"/>
    <w:unhideWhenUsed/>
    <w:rsid w:val="00f707ce"/>
    <w:pPr>
      <w:spacing w:before="0" w:after="100"/>
      <w:ind w:left="1100"/>
    </w:pPr>
    <w:rPr/>
  </w:style>
  <w:style w:type="paragraph" w:styleId="TOC7">
    <w:name w:val="toc 7"/>
    <w:basedOn w:val="Normal"/>
    <w:next w:val="Normal"/>
    <w:autoRedefine/>
    <w:uiPriority w:val="39"/>
    <w:unhideWhenUsed/>
    <w:rsid w:val="00f707ce"/>
    <w:pPr>
      <w:spacing w:before="0" w:after="100"/>
      <w:ind w:left="1320"/>
    </w:pPr>
    <w:rPr/>
  </w:style>
  <w:style w:type="paragraph" w:styleId="TOC8">
    <w:name w:val="toc 8"/>
    <w:basedOn w:val="Normal"/>
    <w:next w:val="Normal"/>
    <w:autoRedefine/>
    <w:uiPriority w:val="39"/>
    <w:unhideWhenUsed/>
    <w:rsid w:val="00f707ce"/>
    <w:pPr>
      <w:spacing w:before="0" w:after="100"/>
      <w:ind w:left="1540"/>
    </w:pPr>
    <w:rPr/>
  </w:style>
  <w:style w:type="paragraph" w:styleId="TOC9">
    <w:name w:val="toc 9"/>
    <w:basedOn w:val="Normal"/>
    <w:next w:val="Normal"/>
    <w:autoRedefine/>
    <w:uiPriority w:val="39"/>
    <w:unhideWhenUsed/>
    <w:rsid w:val="00f707ce"/>
    <w:pPr>
      <w:spacing w:before="0" w:after="100"/>
      <w:ind w:left="1760"/>
    </w:pPr>
    <w:rPr/>
  </w:style>
  <w:style w:type="paragraph" w:styleId="Default" w:customStyle="1">
    <w:name w:val="Default"/>
    <w:link w:val="DefaultChar"/>
    <w:qFormat/>
    <w:rsid w:val="00f707ce"/>
    <w:pPr>
      <w:widowControl/>
      <w:suppressAutoHyphens w:val="true"/>
      <w:bidi w:val="0"/>
      <w:spacing w:lineRule="auto" w:line="240" w:before="0" w:after="0"/>
      <w:jc w:val="left"/>
    </w:pPr>
    <w:rPr>
      <w:rFonts w:ascii="Calibri" w:hAnsi="Calibri" w:eastAsia="" w:cs="Calibri" w:eastAsiaTheme="minorEastAsia"/>
      <w:color w:val="000000"/>
      <w:kern w:val="0"/>
      <w:sz w:val="24"/>
      <w:szCs w:val="24"/>
      <w:lang w:val="hr-HR" w:eastAsia="hr-HR" w:bidi="ar-SA"/>
    </w:rPr>
  </w:style>
  <w:style w:type="paragraph" w:styleId="CommentText">
    <w:name w:val="annotation text"/>
    <w:basedOn w:val="Normal"/>
    <w:link w:val="TekstkomentaraChar"/>
    <w:uiPriority w:val="99"/>
    <w:unhideWhenUsed/>
    <w:qFormat/>
    <w:rsid w:val="00f707ce"/>
    <w:pPr/>
    <w:rPr>
      <w:sz w:val="20"/>
      <w:szCs w:val="20"/>
    </w:rPr>
  </w:style>
  <w:style w:type="paragraph" w:styleId="annotationsubject">
    <w:name w:val="annotation subject"/>
    <w:basedOn w:val="CommentText"/>
    <w:next w:val="CommentText"/>
    <w:link w:val="PredmetkomentaraChar"/>
    <w:uiPriority w:val="99"/>
    <w:semiHidden/>
    <w:unhideWhenUsed/>
    <w:qFormat/>
    <w:rsid w:val="00f707ce"/>
    <w:pPr/>
    <w:rPr>
      <w:b/>
      <w:bCs/>
    </w:rPr>
  </w:style>
  <w:style w:type="paragraph" w:styleId="NoSpacing">
    <w:name w:val="No Spacing"/>
    <w:link w:val="BezproredaChar"/>
    <w:uiPriority w:val="1"/>
    <w:qFormat/>
    <w:rsid w:val="00f707ce"/>
    <w:pPr>
      <w:widowControl/>
      <w:suppressAutoHyphens w:val="true"/>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en-GB" w:eastAsia="en-US" w:bidi="ar-SA"/>
    </w:rPr>
  </w:style>
  <w:style w:type="paragraph" w:styleId="NormalProjektniZadatak" w:customStyle="1">
    <w:name w:val="Normal/ProjektniZadatak"/>
    <w:basedOn w:val="Normal"/>
    <w:qFormat/>
    <w:rsid w:val="00f707ce"/>
    <w:pPr>
      <w:spacing w:before="0" w:after="0"/>
    </w:pPr>
    <w:rPr>
      <w:rFonts w:ascii="Cambria" w:hAnsi="Cambria" w:eastAsia="Calibri" w:cs="Arial Narrow" w:eastAsiaTheme="minorHAnsi"/>
      <w:color w:val="000000"/>
      <w:lang w:eastAsia="en-US"/>
    </w:rPr>
  </w:style>
  <w:style w:type="paragraph" w:styleId="pt-normalweb-000013" w:customStyle="1">
    <w:name w:val="pt-normalweb-000013"/>
    <w:basedOn w:val="Normal"/>
    <w:qFormat/>
    <w:rsid w:val="00f707ce"/>
    <w:pPr>
      <w:spacing w:beforeAutospacing="1" w:afterAutospacing="1"/>
    </w:pPr>
    <w:rPr>
      <w:rFonts w:ascii="Times New Roman" w:hAnsi="Times New Roman" w:eastAsia="Times New Roman" w:cs="Times New Roman"/>
      <w:sz w:val="24"/>
      <w:szCs w:val="24"/>
    </w:rPr>
  </w:style>
  <w:style w:type="paragraph" w:styleId="Standard" w:customStyle="1">
    <w:name w:val="Standard"/>
    <w:qFormat/>
    <w:rsid w:val="00f707ce"/>
    <w:pPr>
      <w:widowControl w:val="false"/>
      <w:suppressAutoHyphens w:val="true"/>
      <w:bidi w:val="0"/>
      <w:spacing w:lineRule="auto" w:line="240" w:before="0" w:after="0"/>
      <w:jc w:val="left"/>
    </w:pPr>
    <w:rPr>
      <w:rFonts w:ascii="Times New Roman" w:hAnsi="Times New Roman" w:eastAsia="Lucida Sans Unicode" w:cs="Tahoma"/>
      <w:color w:val="000000"/>
      <w:kern w:val="0"/>
      <w:sz w:val="24"/>
      <w:szCs w:val="24"/>
      <w:lang w:val="hr-HR" w:eastAsia="hr-HR" w:bidi="ar-SA"/>
    </w:rPr>
  </w:style>
  <w:style w:type="paragraph" w:styleId="NormalIndent">
    <w:name w:val="Normal Indent"/>
    <w:basedOn w:val="Normal"/>
    <w:uiPriority w:val="99"/>
    <w:qFormat/>
    <w:rsid w:val="00f707ce"/>
    <w:pPr>
      <w:spacing w:before="0" w:after="0"/>
      <w:ind w:left="708"/>
    </w:pPr>
    <w:rPr>
      <w:rFonts w:ascii="Arial" w:hAnsi="Arial" w:eastAsia="Times New Roman" w:cs="Arial"/>
      <w:sz w:val="20"/>
      <w:szCs w:val="20"/>
      <w:lang w:val="en-GB" w:eastAsia="sl-SI"/>
    </w:rPr>
  </w:style>
  <w:style w:type="paragraph" w:styleId="FootnoteText">
    <w:name w:val="footnote text"/>
    <w:basedOn w:val="Normal"/>
    <w:link w:val="TekstfusnoteChar"/>
    <w:rsid w:val="00f707ce"/>
    <w:pPr>
      <w:spacing w:before="0" w:after="0"/>
    </w:pPr>
    <w:rPr>
      <w:rFonts w:ascii="Arial" w:hAnsi="Arial" w:eastAsia="Times New Roman" w:cs="Arial"/>
      <w:color w:val="000000"/>
      <w:sz w:val="20"/>
      <w:szCs w:val="20"/>
      <w:lang w:val="en-GB" w:eastAsia="en-US"/>
    </w:rPr>
  </w:style>
  <w:style w:type="paragraph" w:styleId="normalKKP" w:customStyle="1">
    <w:name w:val="normal_KKP"/>
    <w:basedOn w:val="Normal"/>
    <w:link w:val="normalKKPChar"/>
    <w:qFormat/>
    <w:rsid w:val="00f707ce"/>
    <w:pPr>
      <w:tabs>
        <w:tab w:val="clear" w:pos="708"/>
        <w:tab w:val="left" w:pos="9071" w:leader="none"/>
      </w:tabs>
      <w:spacing w:before="0" w:after="0"/>
      <w:ind w:left="454"/>
    </w:pPr>
    <w:rPr>
      <w:rFonts w:ascii="Tahoma" w:hAnsi="Tahoma" w:eastAsia="Times New Roman" w:cs="Tahoma"/>
      <w:sz w:val="20"/>
      <w:szCs w:val="20"/>
      <w:lang w:eastAsia="sl-SI"/>
    </w:rPr>
  </w:style>
  <w:style w:type="paragraph" w:styleId="normalKKP1" w:customStyle="1">
    <w:name w:val="normal KKP"/>
    <w:basedOn w:val="Normal"/>
    <w:qFormat/>
    <w:rsid w:val="00f707ce"/>
    <w:pPr>
      <w:spacing w:before="0" w:after="0"/>
      <w:ind w:left="360"/>
    </w:pPr>
    <w:rPr>
      <w:rFonts w:ascii="Tahoma" w:hAnsi="Tahoma" w:eastAsia="Times New Roman" w:cs="Arial"/>
      <w:sz w:val="20"/>
      <w:szCs w:val="20"/>
      <w:lang w:eastAsia="sl-SI"/>
    </w:rPr>
  </w:style>
  <w:style w:type="paragraph" w:styleId="Naslov1" w:customStyle="1">
    <w:name w:val="Naslov_1"/>
    <w:next w:val="Normal"/>
    <w:qFormat/>
    <w:rsid w:val="00f707ce"/>
    <w:pPr>
      <w:widowControl/>
      <w:numPr>
        <w:ilvl w:val="0"/>
        <w:numId w:val="5"/>
      </w:numPr>
      <w:pBdr>
        <w:top w:val="single" w:sz="4" w:space="1" w:color="000000"/>
        <w:left w:val="single" w:sz="4" w:space="4" w:color="000000"/>
        <w:bottom w:val="single" w:sz="4" w:space="1" w:color="000000"/>
        <w:right w:val="single" w:sz="4" w:space="4" w:color="000000"/>
      </w:pBdr>
      <w:shd w:val="clear" w:color="auto" w:fill="B3B3B3"/>
      <w:suppressAutoHyphens w:val="true"/>
      <w:bidi w:val="0"/>
      <w:spacing w:lineRule="auto" w:line="240" w:before="240" w:after="240"/>
      <w:jc w:val="left"/>
    </w:pPr>
    <w:rPr>
      <w:rFonts w:ascii="Arial" w:hAnsi="Arial" w:eastAsia="Times New Roman" w:cs="Times New Roman"/>
      <w:b/>
      <w:color w:val="auto"/>
      <w:kern w:val="0"/>
      <w:sz w:val="28"/>
      <w:szCs w:val="20"/>
      <w:lang w:val="hr-HR" w:eastAsia="en-US" w:bidi="ar-SA"/>
    </w:rPr>
  </w:style>
  <w:style w:type="paragraph" w:styleId="Naslov2" w:customStyle="1">
    <w:name w:val="Naslov_2"/>
    <w:basedOn w:val="Naslov1"/>
    <w:qFormat/>
    <w:rsid w:val="00f707ce"/>
    <w:pPr>
      <w:pBdr>
        <w:top w:val="nil"/>
        <w:left w:val="nil"/>
        <w:bottom w:val="nil"/>
        <w:right w:val="nil"/>
      </w:pBdr>
      <w:shd w:val="clear" w:color="auto" w:fill="auto"/>
    </w:pPr>
    <w:rPr>
      <w:sz w:val="24"/>
    </w:rPr>
  </w:style>
  <w:style w:type="paragraph" w:styleId="Naslov3" w:customStyle="1">
    <w:name w:val="Naslov_3"/>
    <w:basedOn w:val="Normal"/>
    <w:next w:val="Normal"/>
    <w:qFormat/>
    <w:rsid w:val="00f707ce"/>
    <w:pPr>
      <w:numPr>
        <w:ilvl w:val="2"/>
        <w:numId w:val="5"/>
      </w:numPr>
      <w:spacing w:before="60" w:after="60"/>
    </w:pPr>
    <w:rPr>
      <w:rFonts w:ascii="Myriad Pro" w:hAnsi="Myriad Pro" w:eastAsia="Times New Roman" w:cs="Times New Roman"/>
      <w:sz w:val="24"/>
      <w:szCs w:val="20"/>
      <w:lang w:eastAsia="en-US"/>
    </w:rPr>
  </w:style>
  <w:style w:type="paragraph" w:styleId="Odstavekseznama1" w:customStyle="1">
    <w:name w:val="Odstavek seznama1"/>
    <w:basedOn w:val="Normal"/>
    <w:link w:val="OdstavekseznamaZnak"/>
    <w:uiPriority w:val="34"/>
    <w:qFormat/>
    <w:rsid w:val="00f707ce"/>
    <w:pPr>
      <w:spacing w:before="0" w:after="0"/>
      <w:ind w:left="708"/>
    </w:pPr>
    <w:rPr>
      <w:rFonts w:eastAsia="Calibri" w:eastAsiaTheme="minorHAnsi"/>
      <w:sz w:val="24"/>
      <w:szCs w:val="24"/>
      <w:lang w:val="en-GB" w:eastAsia="en-US"/>
    </w:rPr>
  </w:style>
  <w:style w:type="paragraph" w:styleId="BodyText2">
    <w:name w:val="Body Text 2"/>
    <w:basedOn w:val="Normal"/>
    <w:link w:val="Tijeloteksta2Char"/>
    <w:uiPriority w:val="99"/>
    <w:qFormat/>
    <w:rsid w:val="00f707ce"/>
    <w:pPr>
      <w:spacing w:lineRule="auto" w:line="480"/>
    </w:pPr>
    <w:rPr>
      <w:rFonts w:ascii="Arial" w:hAnsi="Arial" w:eastAsia="Calibri" w:cs="Arial" w:eastAsiaTheme="minorHAnsi"/>
      <w:sz w:val="24"/>
      <w:szCs w:val="24"/>
      <w:lang w:eastAsia="en-US"/>
    </w:rPr>
  </w:style>
  <w:style w:type="paragraph" w:styleId="BodyTextBoldCenter14p" w:customStyle="1">
    <w:name w:val="Body Text_Bold_Center_14p"/>
    <w:basedOn w:val="BodyText1"/>
    <w:next w:val="BodyText1"/>
    <w:link w:val="BodyTextBoldCenter14pChar"/>
    <w:uiPriority w:val="99"/>
    <w:qFormat/>
    <w:rsid w:val="00f707ce"/>
    <w:pPr>
      <w:jc w:val="center"/>
    </w:pPr>
    <w:rPr>
      <w:rFonts w:eastAsia="Calibri" w:eastAsiaTheme="minorHAnsi"/>
      <w:b/>
      <w:bCs/>
      <w:sz w:val="28"/>
      <w:szCs w:val="28"/>
      <w:lang w:eastAsia="en-US"/>
    </w:rPr>
  </w:style>
  <w:style w:type="paragraph" w:styleId="NormalBold" w:customStyle="1">
    <w:name w:val="NormalBold"/>
    <w:basedOn w:val="Normal"/>
    <w:link w:val="NormalBoldChar"/>
    <w:qFormat/>
    <w:rsid w:val="00f707ce"/>
    <w:pPr>
      <w:widowControl w:val="false"/>
      <w:spacing w:before="0" w:after="0"/>
    </w:pPr>
    <w:rPr>
      <w:rFonts w:eastAsia="Calibri" w:eastAsiaTheme="minorHAnsi"/>
      <w:b/>
      <w:sz w:val="24"/>
      <w:lang w:eastAsia="en-GB"/>
    </w:rPr>
  </w:style>
  <w:style w:type="paragraph" w:styleId="00KKP" w:customStyle="1">
    <w:name w:val="00_KKP"/>
    <w:basedOn w:val="Normal"/>
    <w:link w:val="00KKPChar"/>
    <w:qFormat/>
    <w:rsid w:val="00f707ce"/>
    <w:pPr>
      <w:spacing w:before="0" w:after="0"/>
      <w:ind w:left="454"/>
    </w:pPr>
    <w:rPr>
      <w:rFonts w:ascii="Tahoma" w:hAnsi="Tahoma" w:eastAsia="Calibri" w:cs="Arial" w:eastAsiaTheme="minorHAnsi"/>
      <w:sz w:val="20"/>
      <w:szCs w:val="20"/>
      <w:lang w:eastAsia="sl-SI"/>
    </w:rPr>
  </w:style>
  <w:style w:type="paragraph" w:styleId="Stilnaslova" w:customStyle="1">
    <w:name w:val="Stil naslova"/>
    <w:basedOn w:val="Normal"/>
    <w:next w:val="BodyText1"/>
    <w:qFormat/>
    <w:rsid w:val="00f707ce"/>
    <w:pPr>
      <w:keepNext w:val="true"/>
      <w:spacing w:before="240" w:after="120"/>
    </w:pPr>
    <w:rPr>
      <w:rFonts w:ascii="Liberation Sans" w:hAnsi="Liberation Sans" w:eastAsia="Microsoft YaHei" w:cs="Arial"/>
      <w:sz w:val="28"/>
      <w:szCs w:val="28"/>
      <w:lang w:eastAsia="sl-SI"/>
    </w:rPr>
  </w:style>
  <w:style w:type="paragraph" w:styleId="Indeks" w:customStyle="1">
    <w:name w:val="Indeks"/>
    <w:basedOn w:val="Normal"/>
    <w:qFormat/>
    <w:rsid w:val="00f707ce"/>
    <w:pPr>
      <w:suppressLineNumbers/>
      <w:spacing w:before="0" w:after="0"/>
    </w:pPr>
    <w:rPr>
      <w:rFonts w:ascii="Tahoma" w:hAnsi="Tahoma" w:eastAsia="Times New Roman" w:cs="Arial"/>
      <w:sz w:val="20"/>
      <w:szCs w:val="20"/>
      <w:lang w:eastAsia="sl-SI"/>
    </w:rPr>
  </w:style>
  <w:style w:type="paragraph" w:styleId="Volume" w:customStyle="1">
    <w:name w:val="Volume"/>
    <w:basedOn w:val="Heading1"/>
    <w:uiPriority w:val="99"/>
    <w:qFormat/>
    <w:rsid w:val="00f707ce"/>
    <w:pPr>
      <w:keepLines w:val="false"/>
      <w:numPr>
        <w:ilvl w:val="0"/>
        <w:numId w:val="0"/>
      </w:numPr>
      <w:tabs>
        <w:tab w:val="clear" w:pos="708"/>
        <w:tab w:val="left" w:pos="720" w:leader="none"/>
      </w:tabs>
      <w:spacing w:before="0" w:after="0"/>
      <w:ind w:hanging="360" w:left="720"/>
    </w:pPr>
    <w:rPr>
      <w:rFonts w:ascii="Tahoma" w:hAnsi="Tahoma" w:eastAsia="Times New Roman" w:cs="Tahoma"/>
      <w:bCs w:val="false"/>
      <w:caps/>
      <w:color w:val="0000FF"/>
      <w:lang w:eastAsia="en-US"/>
      <w14:textFill>
        <w14:solidFill>
          <w14:srgbClr w14:val="0000FF">
            <w14:lumMod w14:val="75000"/>
          </w14:srgbClr>
        </w14:solidFill>
      </w14:textFill>
    </w:rPr>
  </w:style>
  <w:style w:type="paragraph" w:styleId="BlockText">
    <w:name w:val="Block Text"/>
    <w:basedOn w:val="Normal"/>
    <w:uiPriority w:val="99"/>
    <w:qFormat/>
    <w:rsid w:val="00f707ce"/>
    <w:pPr>
      <w:spacing w:before="0" w:after="0"/>
      <w:ind w:left="5670" w:right="850"/>
      <w:jc w:val="center"/>
    </w:pPr>
    <w:rPr>
      <w:rFonts w:ascii="Tahoma" w:hAnsi="Tahoma" w:eastAsia="Times New Roman" w:cs="Arial"/>
      <w:sz w:val="24"/>
      <w:szCs w:val="24"/>
      <w:lang w:eastAsia="sl-SI"/>
    </w:rPr>
  </w:style>
  <w:style w:type="paragraph" w:styleId="BodyText21" w:customStyle="1">
    <w:name w:val="Body Text 21"/>
    <w:basedOn w:val="Normal"/>
    <w:uiPriority w:val="99"/>
    <w:qFormat/>
    <w:rsid w:val="00f707ce"/>
    <w:pPr>
      <w:spacing w:before="0" w:after="0"/>
      <w:ind w:left="709"/>
    </w:pPr>
    <w:rPr>
      <w:rFonts w:ascii="Tahoma" w:hAnsi="Tahoma" w:eastAsia="Times New Roman" w:cs="Arial"/>
      <w:sz w:val="20"/>
      <w:szCs w:val="20"/>
      <w:lang w:eastAsia="en-US"/>
    </w:rPr>
  </w:style>
  <w:style w:type="paragraph" w:styleId="Besedilolena" w:customStyle="1">
    <w:name w:val="Besedilo člena"/>
    <w:basedOn w:val="Normal"/>
    <w:uiPriority w:val="99"/>
    <w:qFormat/>
    <w:rsid w:val="00f707ce"/>
    <w:pPr/>
    <w:rPr>
      <w:rFonts w:ascii="Arial Narrow" w:hAnsi="Arial Narrow" w:eastAsia="Times New Roman" w:cs="Arial Narrow"/>
      <w:sz w:val="20"/>
      <w:szCs w:val="20"/>
      <w:lang w:eastAsia="sl-SI"/>
    </w:rPr>
  </w:style>
  <w:style w:type="paragraph" w:styleId="tabulka" w:customStyle="1">
    <w:name w:val="tabulka"/>
    <w:basedOn w:val="Normal"/>
    <w:uiPriority w:val="99"/>
    <w:qFormat/>
    <w:rsid w:val="00f707ce"/>
    <w:pPr>
      <w:spacing w:lineRule="exact" w:line="240" w:before="120" w:after="0"/>
      <w:jc w:val="center"/>
    </w:pPr>
    <w:rPr>
      <w:rFonts w:ascii="Tahoma" w:hAnsi="Tahoma" w:eastAsia="Times New Roman" w:cs="Arial"/>
      <w:sz w:val="20"/>
      <w:szCs w:val="20"/>
      <w:lang w:eastAsia="sl-SI"/>
    </w:rPr>
  </w:style>
  <w:style w:type="paragraph" w:styleId="Section" w:customStyle="1">
    <w:name w:val="Section"/>
    <w:basedOn w:val="Normal"/>
    <w:uiPriority w:val="99"/>
    <w:qFormat/>
    <w:rsid w:val="00f707ce"/>
    <w:pPr>
      <w:spacing w:lineRule="exact" w:line="360" w:before="0" w:after="0"/>
      <w:jc w:val="center"/>
    </w:pPr>
    <w:rPr>
      <w:rFonts w:ascii="Tahoma" w:hAnsi="Tahoma" w:eastAsia="Times New Roman" w:cs="Arial"/>
      <w:b/>
      <w:bCs/>
      <w:sz w:val="32"/>
      <w:szCs w:val="32"/>
      <w:lang w:eastAsia="sl-SI"/>
    </w:rPr>
  </w:style>
  <w:style w:type="paragraph" w:styleId="t-9-8" w:customStyle="1">
    <w:name w:val="t-9-8"/>
    <w:basedOn w:val="Normal"/>
    <w:uiPriority w:val="99"/>
    <w:qFormat/>
    <w:rsid w:val="00f707ce"/>
    <w:pPr>
      <w:spacing w:beforeAutospacing="1" w:afterAutospacing="1"/>
    </w:pPr>
    <w:rPr>
      <w:rFonts w:ascii="Tahoma" w:hAnsi="Tahoma" w:eastAsia="Times New Roman" w:cs="Arial"/>
      <w:sz w:val="24"/>
      <w:szCs w:val="24"/>
      <w:lang w:eastAsia="sl-SI"/>
    </w:rPr>
  </w:style>
  <w:style w:type="paragraph" w:styleId="CM63" w:customStyle="1">
    <w:name w:val="CM63"/>
    <w:basedOn w:val="Default"/>
    <w:next w:val="Default"/>
    <w:uiPriority w:val="99"/>
    <w:qFormat/>
    <w:rsid w:val="00f707ce"/>
    <w:pPr>
      <w:widowControl w:val="false"/>
    </w:pPr>
    <w:rPr>
      <w:rFonts w:ascii="Helvetica" w:hAnsi="Helvetica" w:eastAsia="Times New Roman" w:cs="Helvetica"/>
      <w:color w:val="auto"/>
    </w:rPr>
  </w:style>
  <w:style w:type="paragraph" w:styleId="NoSpacing2" w:customStyle="1">
    <w:name w:val="No Spacing2"/>
    <w:uiPriority w:val="99"/>
    <w:qFormat/>
    <w:rsid w:val="00f707ce"/>
    <w:pPr>
      <w:widowControl/>
      <w:suppressAutoHyphens w:val="true"/>
      <w:bidi w:val="0"/>
      <w:spacing w:lineRule="auto" w:line="240" w:before="0" w:after="0"/>
      <w:jc w:val="left"/>
    </w:pPr>
    <w:rPr>
      <w:rFonts w:ascii="Calibri" w:hAnsi="Calibri" w:eastAsia="Times New Roman" w:cs="Calibri" w:asciiTheme="minorHAnsi" w:hAnsiTheme="minorHAnsi"/>
      <w:color w:val="auto"/>
      <w:kern w:val="0"/>
      <w:sz w:val="20"/>
      <w:szCs w:val="20"/>
      <w:lang w:val="hr-HR" w:eastAsia="en-US" w:bidi="ar-SA"/>
    </w:rPr>
  </w:style>
  <w:style w:type="paragraph" w:styleId="BodyTextCenter" w:customStyle="1">
    <w:name w:val="Body Text_Center"/>
    <w:basedOn w:val="BodyText1"/>
    <w:next w:val="BodyText1"/>
    <w:uiPriority w:val="99"/>
    <w:qFormat/>
    <w:rsid w:val="00f707ce"/>
    <w:pPr>
      <w:jc w:val="center"/>
    </w:pPr>
    <w:rPr>
      <w:rFonts w:eastAsia="Times New Roman"/>
      <w:sz w:val="20"/>
      <w:szCs w:val="20"/>
      <w:lang w:eastAsia="en-US"/>
    </w:rPr>
  </w:style>
  <w:style w:type="paragraph" w:styleId="TD-TitlePageTenderDossier" w:customStyle="1">
    <w:name w:val="TD-Title Page Tender Dossier"/>
    <w:uiPriority w:val="99"/>
    <w:qFormat/>
    <w:rsid w:val="00f707ce"/>
    <w:pPr>
      <w:widowControl/>
      <w:suppressAutoHyphens w:val="true"/>
      <w:bidi w:val="0"/>
      <w:spacing w:lineRule="exact" w:line="240" w:before="1200" w:after="2040"/>
      <w:jc w:val="center"/>
    </w:pPr>
    <w:rPr>
      <w:rFonts w:ascii="Arial" w:hAnsi="Arial" w:eastAsia="Times New Roman" w:cs="Arial"/>
      <w:b/>
      <w:bCs/>
      <w:caps/>
      <w:color w:val="auto"/>
      <w:kern w:val="0"/>
      <w:sz w:val="40"/>
      <w:szCs w:val="40"/>
      <w:lang w:val="en-US" w:eastAsia="en-US" w:bidi="ar-SA"/>
    </w:rPr>
  </w:style>
  <w:style w:type="paragraph" w:styleId="tb-na16" w:customStyle="1">
    <w:name w:val="tb-na16"/>
    <w:basedOn w:val="Normal"/>
    <w:qFormat/>
    <w:rsid w:val="00f707ce"/>
    <w:pPr>
      <w:spacing w:beforeAutospacing="1" w:afterAutospacing="1"/>
    </w:pPr>
    <w:rPr>
      <w:rFonts w:ascii="Times New Roman" w:hAnsi="Times New Roman" w:eastAsia="Times New Roman" w:cs="Times New Roman"/>
      <w:sz w:val="24"/>
      <w:szCs w:val="24"/>
    </w:rPr>
  </w:style>
  <w:style w:type="paragraph" w:styleId="t-12-9-fett-s" w:customStyle="1">
    <w:name w:val="t-12-9-fett-s"/>
    <w:basedOn w:val="Normal"/>
    <w:qFormat/>
    <w:rsid w:val="00f707ce"/>
    <w:pPr>
      <w:spacing w:beforeAutospacing="1" w:afterAutospacing="1"/>
    </w:pPr>
    <w:rPr>
      <w:rFonts w:ascii="Times New Roman" w:hAnsi="Times New Roman" w:eastAsia="Times New Roman" w:cs="Times New Roman"/>
      <w:sz w:val="24"/>
      <w:szCs w:val="24"/>
    </w:rPr>
  </w:style>
  <w:style w:type="paragraph" w:styleId="xl66" w:customStyle="1">
    <w:name w:val="xl66"/>
    <w:basedOn w:val="Normal"/>
    <w:qFormat/>
    <w:rsid w:val="00f707ce"/>
    <w:pPr>
      <w:spacing w:beforeAutospacing="1" w:afterAutospacing="1"/>
    </w:pPr>
    <w:rPr>
      <w:rFonts w:ascii="Calibri" w:hAnsi="Calibri" w:eastAsia="Times New Roman" w:cs="Times New Roman"/>
      <w:sz w:val="24"/>
      <w:szCs w:val="24"/>
      <w:lang w:val="sl-SI" w:eastAsia="sl-SI"/>
    </w:rPr>
  </w:style>
  <w:style w:type="paragraph" w:styleId="Navaden1" w:customStyle="1">
    <w:name w:val="Navaden1"/>
    <w:basedOn w:val="Normal"/>
    <w:qFormat/>
    <w:rsid w:val="00f707ce"/>
    <w:pPr>
      <w:spacing w:before="120" w:after="0"/>
    </w:pPr>
    <w:rPr>
      <w:rFonts w:ascii="Times New Roman" w:hAnsi="Times New Roman" w:eastAsia="Times New Roman" w:cs="Times New Roman"/>
      <w:sz w:val="24"/>
      <w:szCs w:val="24"/>
      <w:lang w:val="sl-SI" w:eastAsia="sl-SI"/>
    </w:rPr>
  </w:style>
  <w:style w:type="paragraph" w:styleId="Tiret0" w:customStyle="1">
    <w:name w:val="Tiret 0"/>
    <w:basedOn w:val="Normal"/>
    <w:qFormat/>
    <w:rsid w:val="00f707ce"/>
    <w:pPr>
      <w:spacing w:before="120" w:after="120"/>
    </w:pPr>
    <w:rPr>
      <w:rFonts w:ascii="Times New Roman" w:hAnsi="Times New Roman" w:eastAsia="Calibri" w:cs="Times New Roman"/>
      <w:sz w:val="24"/>
      <w:lang w:eastAsia="en-GB"/>
    </w:rPr>
  </w:style>
  <w:style w:type="paragraph" w:styleId="Tiret1" w:customStyle="1">
    <w:name w:val="Tiret 1"/>
    <w:basedOn w:val="Normal"/>
    <w:qFormat/>
    <w:rsid w:val="00f707ce"/>
    <w:pPr>
      <w:spacing w:before="120" w:after="120"/>
    </w:pPr>
    <w:rPr>
      <w:rFonts w:ascii="Times New Roman" w:hAnsi="Times New Roman" w:eastAsia="Calibri" w:cs="Times New Roman"/>
      <w:sz w:val="24"/>
      <w:lang w:eastAsia="en-GB"/>
    </w:rPr>
  </w:style>
  <w:style w:type="paragraph" w:styleId="Text1" w:customStyle="1">
    <w:name w:val="Text 1"/>
    <w:basedOn w:val="Normal"/>
    <w:qFormat/>
    <w:rsid w:val="00f707ce"/>
    <w:pPr>
      <w:spacing w:before="120" w:after="120"/>
      <w:ind w:left="850"/>
    </w:pPr>
    <w:rPr>
      <w:rFonts w:ascii="Times New Roman" w:hAnsi="Times New Roman" w:eastAsia="Calibri" w:cs="Times New Roman"/>
      <w:sz w:val="24"/>
      <w:lang w:eastAsia="en-GB"/>
    </w:rPr>
  </w:style>
  <w:style w:type="paragraph" w:styleId="NormalLeft" w:customStyle="1">
    <w:name w:val="Normal Left"/>
    <w:basedOn w:val="Normal"/>
    <w:qFormat/>
    <w:rsid w:val="00f707ce"/>
    <w:pPr>
      <w:spacing w:before="120" w:after="120"/>
    </w:pPr>
    <w:rPr>
      <w:rFonts w:ascii="Times New Roman" w:hAnsi="Times New Roman" w:eastAsia="Calibri" w:cs="Times New Roman"/>
      <w:sz w:val="24"/>
      <w:lang w:eastAsia="en-GB"/>
    </w:rPr>
  </w:style>
  <w:style w:type="paragraph" w:styleId="NumPar1" w:customStyle="1">
    <w:name w:val="NumPar 1"/>
    <w:basedOn w:val="Normal"/>
    <w:next w:val="Text1"/>
    <w:qFormat/>
    <w:rsid w:val="00f707ce"/>
    <w:pPr>
      <w:tabs>
        <w:tab w:val="clear" w:pos="708"/>
        <w:tab w:val="left" w:pos="850" w:leader="none"/>
      </w:tabs>
      <w:spacing w:before="120" w:after="120"/>
      <w:ind w:hanging="850" w:left="850"/>
    </w:pPr>
    <w:rPr>
      <w:rFonts w:ascii="Times New Roman" w:hAnsi="Times New Roman" w:eastAsia="Calibri" w:cs="Times New Roman"/>
      <w:sz w:val="24"/>
      <w:lang w:eastAsia="en-GB"/>
    </w:rPr>
  </w:style>
  <w:style w:type="paragraph" w:styleId="NumPar2" w:customStyle="1">
    <w:name w:val="NumPar 2"/>
    <w:basedOn w:val="Normal"/>
    <w:next w:val="Text1"/>
    <w:qFormat/>
    <w:rsid w:val="00f707ce"/>
    <w:pPr>
      <w:tabs>
        <w:tab w:val="clear" w:pos="708"/>
        <w:tab w:val="left" w:pos="850" w:leader="none"/>
      </w:tabs>
      <w:spacing w:before="120" w:after="120"/>
      <w:ind w:hanging="850" w:left="850"/>
    </w:pPr>
    <w:rPr>
      <w:rFonts w:ascii="Times New Roman" w:hAnsi="Times New Roman" w:eastAsia="Calibri" w:cs="Times New Roman"/>
      <w:sz w:val="24"/>
      <w:lang w:eastAsia="en-GB"/>
    </w:rPr>
  </w:style>
  <w:style w:type="paragraph" w:styleId="NumPar3" w:customStyle="1">
    <w:name w:val="NumPar 3"/>
    <w:basedOn w:val="Normal"/>
    <w:next w:val="Text1"/>
    <w:qFormat/>
    <w:rsid w:val="00f707ce"/>
    <w:pPr>
      <w:spacing w:before="120" w:after="120"/>
    </w:pPr>
    <w:rPr>
      <w:rFonts w:ascii="Times New Roman" w:hAnsi="Times New Roman" w:eastAsia="Calibri" w:cs="Times New Roman"/>
      <w:sz w:val="24"/>
      <w:lang w:eastAsia="en-GB"/>
    </w:rPr>
  </w:style>
  <w:style w:type="paragraph" w:styleId="NumPar4" w:customStyle="1">
    <w:name w:val="NumPar 4"/>
    <w:basedOn w:val="Normal"/>
    <w:next w:val="Text1"/>
    <w:qFormat/>
    <w:rsid w:val="00f707ce"/>
    <w:pPr>
      <w:spacing w:before="120" w:after="120"/>
    </w:pPr>
    <w:rPr>
      <w:rFonts w:ascii="Times New Roman" w:hAnsi="Times New Roman" w:eastAsia="Calibri" w:cs="Times New Roman"/>
      <w:sz w:val="24"/>
      <w:lang w:eastAsia="en-GB"/>
    </w:rPr>
  </w:style>
  <w:style w:type="paragraph" w:styleId="ChapterTitle" w:customStyle="1">
    <w:name w:val="ChapterTitle"/>
    <w:basedOn w:val="Normal"/>
    <w:next w:val="Normal"/>
    <w:qFormat/>
    <w:rsid w:val="00f707ce"/>
    <w:pPr>
      <w:keepNext w:val="true"/>
      <w:spacing w:before="120" w:after="360"/>
      <w:jc w:val="center"/>
    </w:pPr>
    <w:rPr>
      <w:rFonts w:ascii="Times New Roman" w:hAnsi="Times New Roman" w:eastAsia="Calibri" w:cs="Times New Roman"/>
      <w:b/>
      <w:sz w:val="32"/>
      <w:lang w:eastAsia="en-GB"/>
    </w:rPr>
  </w:style>
  <w:style w:type="paragraph" w:styleId="SectionTitle" w:customStyle="1">
    <w:name w:val="SectionTitle"/>
    <w:basedOn w:val="Normal"/>
    <w:next w:val="Heading1"/>
    <w:qFormat/>
    <w:rsid w:val="00f707ce"/>
    <w:pPr>
      <w:keepNext w:val="true"/>
      <w:spacing w:before="120" w:after="360"/>
      <w:jc w:val="center"/>
    </w:pPr>
    <w:rPr>
      <w:rFonts w:ascii="Times New Roman" w:hAnsi="Times New Roman" w:eastAsia="Calibri" w:cs="Times New Roman"/>
      <w:b/>
      <w:smallCaps/>
      <w:sz w:val="28"/>
      <w:lang w:eastAsia="en-GB"/>
    </w:rPr>
  </w:style>
  <w:style w:type="paragraph" w:styleId="Annexetitre" w:customStyle="1">
    <w:name w:val="Annexe titre"/>
    <w:basedOn w:val="Normal"/>
    <w:next w:val="Normal"/>
    <w:qFormat/>
    <w:rsid w:val="00f707ce"/>
    <w:pPr>
      <w:spacing w:before="120" w:after="120"/>
      <w:jc w:val="center"/>
    </w:pPr>
    <w:rPr>
      <w:rFonts w:ascii="Times New Roman" w:hAnsi="Times New Roman" w:eastAsia="Calibri" w:cs="Times New Roman"/>
      <w:b/>
      <w:sz w:val="24"/>
      <w:u w:val="single"/>
      <w:lang w:eastAsia="en-GB"/>
    </w:rPr>
  </w:style>
  <w:style w:type="paragraph" w:styleId="Titrearticle" w:customStyle="1">
    <w:name w:val="Titre article"/>
    <w:basedOn w:val="Normal"/>
    <w:next w:val="Normal"/>
    <w:qFormat/>
    <w:rsid w:val="00f707ce"/>
    <w:pPr>
      <w:keepNext w:val="true"/>
      <w:spacing w:before="360" w:after="120"/>
      <w:jc w:val="center"/>
    </w:pPr>
    <w:rPr>
      <w:rFonts w:ascii="Times New Roman" w:hAnsi="Times New Roman" w:eastAsia="Calibri" w:cs="Times New Roman"/>
      <w:i/>
      <w:sz w:val="24"/>
      <w:lang w:eastAsia="en-GB"/>
    </w:rPr>
  </w:style>
  <w:style w:type="paragraph" w:styleId="Revision">
    <w:name w:val="Revision"/>
    <w:uiPriority w:val="99"/>
    <w:semiHidden/>
    <w:qFormat/>
    <w:rsid w:val="00f707ce"/>
    <w:pPr>
      <w:widowControl/>
      <w:suppressAutoHyphens w:val="true"/>
      <w:bidi w:val="0"/>
      <w:spacing w:lineRule="auto" w:line="240" w:before="0" w:after="0"/>
      <w:jc w:val="left"/>
    </w:pPr>
    <w:rPr>
      <w:rFonts w:ascii="Tahoma" w:hAnsi="Tahoma" w:eastAsia="Times New Roman" w:cs="Arial"/>
      <w:color w:val="auto"/>
      <w:kern w:val="0"/>
      <w:sz w:val="20"/>
      <w:szCs w:val="20"/>
      <w:lang w:val="hr-HR" w:eastAsia="sl-SI" w:bidi="ar-SA"/>
    </w:rPr>
  </w:style>
  <w:style w:type="paragraph" w:styleId="ListBullet2">
    <w:name w:val="List Bullet 2"/>
    <w:basedOn w:val="Normal"/>
    <w:uiPriority w:val="99"/>
    <w:qFormat/>
    <w:rsid w:val="00f707ce"/>
    <w:pPr>
      <w:tabs>
        <w:tab w:val="clear" w:pos="708"/>
        <w:tab w:val="left" w:pos="1485" w:leader="none"/>
      </w:tabs>
      <w:spacing w:before="0" w:after="240"/>
      <w:ind w:hanging="283" w:left="1485"/>
    </w:pPr>
    <w:rPr>
      <w:rFonts w:ascii="Times New Roman" w:hAnsi="Times New Roman" w:eastAsia="Times New Roman" w:cs="Times New Roman"/>
      <w:sz w:val="24"/>
      <w:szCs w:val="20"/>
      <w:lang w:val="en-GB" w:eastAsia="en-US"/>
    </w:rPr>
  </w:style>
  <w:style w:type="paragraph" w:styleId="crtice" w:customStyle="1">
    <w:name w:val="crtice"/>
    <w:basedOn w:val="normalKKP"/>
    <w:qFormat/>
    <w:rsid w:val="00f707ce"/>
    <w:pPr>
      <w:tabs>
        <w:tab w:val="clear" w:pos="9071"/>
      </w:tabs>
    </w:pPr>
    <w:rPr>
      <w:lang w:eastAsia="hr-HR"/>
    </w:rPr>
  </w:style>
  <w:style w:type="paragraph" w:styleId="ListBullet">
    <w:name w:val="List Bullet"/>
    <w:basedOn w:val="Normal"/>
    <w:uiPriority w:val="99"/>
    <w:semiHidden/>
    <w:unhideWhenUsed/>
    <w:qFormat/>
    <w:rsid w:val="00f707ce"/>
    <w:pPr>
      <w:spacing w:before="0" w:after="0"/>
      <w:contextualSpacing/>
    </w:pPr>
    <w:rPr>
      <w:rFonts w:ascii="Tahoma" w:hAnsi="Tahoma" w:eastAsia="Times New Roman" w:cs="Arial"/>
      <w:sz w:val="20"/>
      <w:szCs w:val="20"/>
      <w:lang w:eastAsia="sl-SI"/>
    </w:rPr>
  </w:style>
  <w:style w:type="paragraph" w:styleId="xl68" w:customStyle="1">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Autospacing="1"/>
      <w:jc w:val="right"/>
    </w:pPr>
    <w:rPr>
      <w:rFonts w:ascii="Arial" w:hAnsi="Arial" w:eastAsia="PMingLiU" w:cs="Arial"/>
      <w:b/>
      <w:bCs/>
      <w:sz w:val="20"/>
      <w:szCs w:val="20"/>
    </w:rPr>
  </w:style>
  <w:style w:type="paragraph" w:styleId="western" w:customStyle="1">
    <w:name w:val="western"/>
    <w:basedOn w:val="Normal"/>
    <w:qFormat/>
    <w:rsid w:val="00f707ce"/>
    <w:pPr>
      <w:spacing w:beforeAutospacing="1" w:after="0"/>
    </w:pPr>
    <w:rPr>
      <w:rFonts w:ascii="Arial" w:hAnsi="Arial" w:eastAsia="Times New Roman" w:cs="Arial"/>
      <w:i/>
      <w:iCs/>
      <w:color w:val="000000"/>
    </w:rPr>
  </w:style>
  <w:style w:type="paragraph" w:styleId="Sadrajokvira" w:customStyle="1">
    <w:name w:val="Sadržaj okvira"/>
    <w:basedOn w:val="Normal"/>
    <w:qFormat/>
    <w:rsid w:val="00f707ce"/>
    <w:pPr>
      <w:spacing w:before="0" w:after="0"/>
    </w:pPr>
    <w:rPr>
      <w:rFonts w:ascii="Tahoma" w:hAnsi="Tahoma" w:eastAsia="Times New Roman" w:cs="Arial"/>
      <w:sz w:val="20"/>
      <w:szCs w:val="20"/>
      <w:lang w:eastAsia="sl-SI"/>
    </w:rPr>
  </w:style>
  <w:style w:type="paragraph" w:styleId="DocumentMap">
    <w:name w:val="Document Map"/>
    <w:basedOn w:val="Normal"/>
    <w:link w:val="KartadokumentaChar"/>
    <w:uiPriority w:val="99"/>
    <w:semiHidden/>
    <w:unhideWhenUsed/>
    <w:qFormat/>
    <w:rsid w:val="00f707ce"/>
    <w:pPr>
      <w:spacing w:before="0" w:after="0"/>
    </w:pPr>
    <w:rPr>
      <w:rFonts w:ascii="Tahoma" w:hAnsi="Tahoma" w:eastAsia="Times New Roman" w:cs="Tahoma"/>
      <w:sz w:val="16"/>
      <w:szCs w:val="16"/>
      <w:lang w:eastAsia="sl-SI"/>
    </w:rPr>
  </w:style>
  <w:style w:type="paragraph" w:styleId="Stil2" w:customStyle="1">
    <w:name w:val="Stil2"/>
    <w:basedOn w:val="Normal"/>
    <w:qFormat/>
    <w:rsid w:val="00f707ce"/>
    <w:pPr>
      <w:spacing w:lineRule="auto" w:line="288" w:before="0" w:after="0"/>
    </w:pPr>
    <w:rPr>
      <w:rFonts w:ascii="Calibri" w:hAnsi="Calibri" w:eastAsia="Times New Roman" w:cs="Times New Roman"/>
      <w:sz w:val="20"/>
      <w:szCs w:val="20"/>
    </w:rPr>
  </w:style>
  <w:style w:type="paragraph" w:styleId="natuknica" w:customStyle="1">
    <w:name w:val="natuknica"/>
    <w:basedOn w:val="Normal"/>
    <w:next w:val="Normal"/>
    <w:qFormat/>
    <w:rsid w:val="00f707ce"/>
    <w:pPr>
      <w:numPr>
        <w:ilvl w:val="0"/>
        <w:numId w:val="6"/>
      </w:numPr>
      <w:tabs>
        <w:tab w:val="clear" w:pos="708"/>
        <w:tab w:val="left" w:pos="709" w:leader="none"/>
      </w:tabs>
      <w:spacing w:before="120" w:after="240"/>
      <w:ind w:left="709"/>
      <w:contextualSpacing/>
    </w:pPr>
    <w:rPr>
      <w:rFonts w:ascii="Times New Roman" w:hAnsi="Times New Roman" w:eastAsia="Times New Roman" w:cs="Times New Roman"/>
      <w:lang w:val="en-GB"/>
    </w:rPr>
  </w:style>
  <w:style w:type="paragraph" w:styleId="BodyTextBoldheading" w:customStyle="1">
    <w:name w:val="Body Text Bold heading"/>
    <w:basedOn w:val="Normal"/>
    <w:link w:val="BodyTextBoldheadingChar"/>
    <w:qFormat/>
    <w:rsid w:val="00f707ce"/>
    <w:pPr>
      <w:spacing w:lineRule="auto" w:line="276" w:before="240" w:after="120"/>
    </w:pPr>
    <w:rPr>
      <w:rFonts w:ascii="Calibri" w:hAnsi="Calibri" w:eastAsia="Arial Unicode MS"/>
      <w:b/>
      <w:lang w:val="en-GB" w:eastAsia="en-US"/>
    </w:rPr>
  </w:style>
  <w:style w:type="paragraph" w:styleId="m1865666220503224954msolistparagraph" w:customStyle="1">
    <w:name w:val="m_1865666220503224954msolistparagraph"/>
    <w:basedOn w:val="Normal"/>
    <w:qFormat/>
    <w:rsid w:val="00f707ce"/>
    <w:pPr>
      <w:spacing w:beforeAutospacing="1" w:afterAutospacing="1"/>
      <w:jc w:val="left"/>
    </w:pPr>
    <w:rPr>
      <w:rFonts w:ascii="Times New Roman" w:hAnsi="Times New Roman" w:eastAsia="Times New Roman" w:cs="Times New Roman"/>
      <w:sz w:val="24"/>
      <w:szCs w:val="24"/>
    </w:rPr>
  </w:style>
  <w:style w:type="paragraph" w:styleId="NormalWeb">
    <w:name w:val="Normal (Web)"/>
    <w:basedOn w:val="Normal"/>
    <w:uiPriority w:val="99"/>
    <w:unhideWhenUsed/>
    <w:qFormat/>
    <w:rsid w:val="00f707ce"/>
    <w:pPr>
      <w:spacing w:beforeAutospacing="1" w:afterAutospacing="1"/>
      <w:jc w:val="left"/>
    </w:pPr>
    <w:rPr>
      <w:rFonts w:ascii="Times New Roman" w:hAnsi="Times New Roman" w:eastAsia="Calibri" w:cs="Times New Roman" w:eastAsiaTheme="minorHAnsi"/>
      <w:sz w:val="24"/>
      <w:szCs w:val="24"/>
      <w:lang w:eastAsia="sl-SI"/>
    </w:rPr>
  </w:style>
  <w:style w:type="paragraph" w:styleId="Tijeloteksta3" w:customStyle="1">
    <w:name w:val="Tijelo teksta3"/>
    <w:basedOn w:val="Normal"/>
    <w:link w:val="Bodytext"/>
    <w:qFormat/>
    <w:rsid w:val="001e4cee"/>
    <w:pPr>
      <w:shd w:val="clear" w:color="auto" w:fill="FFFFFF"/>
      <w:spacing w:lineRule="exact" w:line="317" w:before="0" w:after="600"/>
      <w:ind w:hanging="400"/>
    </w:pPr>
    <w:rPr>
      <w:rFonts w:eastAsia="Times New Roman"/>
      <w:sz w:val="23"/>
      <w:szCs w:val="23"/>
      <w:lang w:eastAsia="en-US"/>
    </w:rPr>
  </w:style>
  <w:style w:type="paragraph" w:styleId="2012TEXT" w:customStyle="1">
    <w:name w:val="2012_TEXT"/>
    <w:link w:val="2012TEXTChar"/>
    <w:qFormat/>
    <w:rsid w:val="00624955"/>
    <w:pPr>
      <w:widowControl/>
      <w:tabs>
        <w:tab w:val="clear" w:pos="708"/>
        <w:tab w:val="left" w:pos="284" w:leader="none"/>
      </w:tabs>
      <w:suppressAutoHyphens w:val="true"/>
      <w:bidi w:val="0"/>
      <w:spacing w:lineRule="auto" w:line="240" w:before="0" w:after="120"/>
      <w:jc w:val="both"/>
    </w:pPr>
    <w:rPr>
      <w:rFonts w:ascii="Arial" w:hAnsi="Arial" w:eastAsia="Times New Roman" w:cs="Times New Roman"/>
      <w:color w:val="auto"/>
      <w:kern w:val="0"/>
      <w:sz w:val="20"/>
      <w:szCs w:val="20"/>
      <w:lang w:val="hr-HR" w:eastAsia="en-US" w:bidi="ar-SA"/>
    </w:rPr>
  </w:style>
  <w:style w:type="numbering" w:styleId="NoList" w:default="1">
    <w:name w:val="No List"/>
    <w:uiPriority w:val="99"/>
    <w:semiHidden/>
    <w:unhideWhenUsed/>
    <w:qFormat/>
  </w:style>
  <w:style w:type="numbering" w:styleId="Style21" w:customStyle="1">
    <w:name w:val="Style2"/>
    <w:uiPriority w:val="99"/>
    <w:qFormat/>
    <w:rsid w:val="00f707ce"/>
  </w:style>
  <w:style w:type="numbering" w:styleId="OutlineList3">
    <w:name w:val="Outline List 3"/>
    <w:semiHidden/>
    <w:qFormat/>
    <w:rsid w:val="00f707ce"/>
  </w:style>
  <w:style w:type="table" w:default="1" w:styleId="Obinatablica">
    <w:name w:val="Normal Table"/>
    <w:uiPriority w:val="99"/>
    <w:semiHidden/>
    <w:unhideWhenUsed/>
    <w:tblPr>
      <w:tblCellMar>
        <w:top w:w="0" w:type="dxa"/>
        <w:left w:w="108" w:type="dxa"/>
        <w:bottom w:w="0" w:type="dxa"/>
        <w:right w:w="108" w:type="dxa"/>
      </w:tblCellMar>
    </w:tblPr>
  </w:style>
  <w:style w:type="table" w:styleId="Reetkatablice">
    <w:name w:val="Table Grid"/>
    <w:basedOn w:val="Obinatablica"/>
    <w:uiPriority w:val="59"/>
    <w:rsid w:val="00f707ce"/>
    <w:pPr>
      <w:spacing w:after="0" w:line="240" w:lineRule="auto"/>
    </w:pPr>
    <w:rPr>
      <w:rFonts w:eastAsiaTheme="minorEastAsia"/>
      <w:lang w:val="en-US" w:eastAsia="hr-H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1">
    <w:name w:val="Table Normal1"/>
    <w:uiPriority w:val="2"/>
    <w:semiHidden/>
    <w:unhideWhenUsed/>
    <w:qFormat/>
    <w:rsid w:val="00f707ce"/>
    <w:pPr>
      <w:spacing w:after="0" w:line="240" w:lineRule="auto"/>
    </w:pPr>
    <w:rPr>
      <w:rFonts w:eastAsiaTheme="minorEastAsia"/>
      <w:lang w:val="en-US" w:eastAsia="hr-HR"/>
    </w:rPr>
    <w:tblPr>
      <w:tblCellMar>
        <w:top w:w="0" w:type="dxa"/>
        <w:left w:w="0" w:type="dxa"/>
        <w:bottom w:w="0" w:type="dxa"/>
        <w:right w:w="0" w:type="dxa"/>
      </w:tblCellMar>
    </w:tblPr>
  </w:style>
  <w:style w:type="table" w:customStyle="1" w:styleId="Tabelamrea1">
    <w:name w:val="Tabela – mreža1"/>
    <w:uiPriority w:val="99"/>
    <w:rsid w:val="00f707ce"/>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cstheme="minorHAnsi"/>
      <w:lang w:eastAsia="hr-HR"/>
      <w:sz w:val="20"/>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elamrea3">
    <w:name w:val="Tabela – mreža3"/>
    <w:basedOn w:val="Obinatablica"/>
    <w:uiPriority w:val="59"/>
    <w:rsid w:val="00f707ce"/>
    <w:pPr>
      <w:spacing w:after="0" w:line="240" w:lineRule="auto"/>
    </w:pPr>
    <w:rPr>
      <w:rFonts w:cstheme="minorHAnsi"/>
      <w:lang w:eastAsia="hr-HR"/>
      <w:sz w:val="20"/>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elamrea4">
    <w:name w:val="Tabela – mreža4"/>
    <w:basedOn w:val="Obinatablica"/>
    <w:uiPriority w:val="59"/>
    <w:rsid w:val="00f707ce"/>
    <w:pPr>
      <w:spacing w:after="0" w:line="240" w:lineRule="auto"/>
    </w:pPr>
    <w:rPr>
      <w:rFonts w:cstheme="minorHAnsi"/>
      <w:lang w:eastAsia="hr-HR"/>
      <w:sz w:val="20"/>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icazaStudiju1">
    <w:name w:val="Tablica za Studiju1"/>
    <w:basedOn w:val="Obinatablica"/>
    <w:uiPriority w:val="39"/>
    <w:rsid w:val="00f707ce"/>
    <w:pPr>
      <w:spacing w:after="0" w:line="240" w:lineRule="auto"/>
    </w:pPr>
    <w:rPr>
      <w:lang w:eastAsia="hr-H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ravnateljstvo@dzz-zapad.hr" TargetMode="External"/><Relationship Id="rId4" Type="http://schemas.openxmlformats.org/officeDocument/2006/relationships/hyperlink" Target="mailto:marina.svaganovic@dzz-zapad.hr" TargetMode="External"/><Relationship Id="rId5" Type="http://schemas.openxmlformats.org/officeDocument/2006/relationships/hyperlink" Target="mailto:antonija.persic.demsic@dzz-zapad.hr"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sustava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474</TotalTime>
  <Application>LibreOffice/25.2.4.3$Windows_X86_64 LibreOffice_project/33e196637044ead23f5c3226cde09b47731f7e27</Application>
  <AppVersion>15.0000</AppVersion>
  <Pages>18</Pages>
  <Words>5911</Words>
  <Characters>35844</Characters>
  <CharactersWithSpaces>41573</CharactersWithSpaces>
  <Paragraphs>344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2025-09-11T07:31:00Z</dcterms:created>
  <dc:creator>M</dc:creator>
  <dc:description/>
  <dc:language>en-US</dc:language>
  <cp:lastModifiedBy/>
  <cp:lastPrinted>2024-02-02T08:35:00Z</cp:lastPrinted>
  <dcterms:modified xsi:type="dcterms:W3CDTF">2025-11-25T09:39:46Z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