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6D0" w:rsidRPr="00BD7081" w:rsidRDefault="000E0B89" w:rsidP="00E056D0">
      <w:pPr>
        <w:rPr>
          <w:rFonts w:ascii="Calibri" w:eastAsia="Times New Roman" w:hAnsi="Calibri" w:cs="Arial"/>
          <w:lang w:val="pl-PL"/>
        </w:rPr>
      </w:pPr>
      <w:r w:rsidRPr="000E0B89">
        <w:rPr>
          <w:rFonts w:ascii="Calibri" w:eastAsia="Times New Roman" w:hAnsi="Calibri" w:cs="Arial"/>
          <w:noProof/>
        </w:rPr>
        <mc:AlternateContent>
          <mc:Choice Requires="wps">
            <w:drawing>
              <wp:anchor distT="45720" distB="45720" distL="114300" distR="114300" simplePos="0" relativeHeight="251663360" behindDoc="0" locked="0" layoutInCell="1" allowOverlap="1" wp14:anchorId="171059AD" wp14:editId="694D0368">
                <wp:simplePos x="0" y="0"/>
                <wp:positionH relativeFrom="margin">
                  <wp:align>left</wp:align>
                </wp:positionH>
                <wp:positionV relativeFrom="paragraph">
                  <wp:posOffset>2209800</wp:posOffset>
                </wp:positionV>
                <wp:extent cx="4200525"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1404620"/>
                        </a:xfrm>
                        <a:prstGeom prst="rect">
                          <a:avLst/>
                        </a:prstGeom>
                        <a:noFill/>
                        <a:ln w="9525">
                          <a:noFill/>
                          <a:miter lim="800000"/>
                          <a:headEnd/>
                          <a:tailEnd/>
                        </a:ln>
                      </wps:spPr>
                      <wps:txbx>
                        <w:txbxContent>
                          <w:p w:rsidR="000E0B89" w:rsidRDefault="000E0B89" w:rsidP="000E0B89">
                            <w:r>
                              <w:t>Avrion d.o.o., Nikole Pavića 28, 10 090 Zagreb, OIB:67095305134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1059AD" id="_x0000_t202" coordsize="21600,21600" o:spt="202" path="m,l,21600r21600,l21600,xe">
                <v:stroke joinstyle="miter"/>
                <v:path gradientshapeok="t" o:connecttype="rect"/>
              </v:shapetype>
              <v:shape id="Text Box 2" o:spid="_x0000_s1026" type="#_x0000_t202" style="position:absolute;left:0;text-align:left;margin-left:0;margin-top:174pt;width:330.75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ij2CQIAAPMDAAAOAAAAZHJzL2Uyb0RvYy54bWysU9tuGyEQfa/Uf0C817terdNkZRylSV1V&#10;Si9Skg/ALOtFBYYC9q779R1Yx7HSt6g8IGBmzsw5MyyvR6PJXvqgwDI6n5WUSCugVXbL6NPj+sMl&#10;JSFy23INVjJ6kIFer96/Ww6ukRX0oFvpCYLY0AyO0T5G1xRFEL00PMzASYvGDrzhEa9+W7SeD4hu&#10;dFGV5UUxgG+dByFDwNe7yUhXGb/rpIg/ui7ISDSjWFvMu8/7Ju3FasmbreeuV+JYBn9DFYYri0lP&#10;UHc8crLz6h8oo4SHAF2cCTAFdJ0SMnNANvPyFZuHnjuZuaA4wZ1kCv8PVnzf//REtYxWlFhusEWP&#10;cozkE4ykSuoMLjTo9ODQLY74jF3OTIO7B/ErEAu3PbdbeeM9DL3kLVY3T5HFWeiEExLIZvgGLabh&#10;uwgZaOy8SdKhGATRsUuHU2dSKQIfa+z1olpQItA2r8v6osq9K3jzHO58iF8kGJIOjHpsfYbn+/sQ&#10;Uzm8eXZJ2Syslda5/dqSgdGrhP/KYlTE6dTKMHpZpjXNS2L52bY5OHKlpzMm0PZIOzGdOMdxM6Jj&#10;0mID7QEF8DBNIf4aPPTg/1Ay4AQyGn7vuJeU6K8WRbya13Ua2XypFx+RMfHnls25hVuBUIxGSqbj&#10;bcxjnhgFd4Nir1WW4aWSY604WVmd4y9Io3t+z14vf3X1FwAA//8DAFBLAwQUAAYACAAAACEA87VU&#10;Jd4AAAAIAQAADwAAAGRycy9kb3ducmV2LnhtbEyPwU7DMBBE70j8g7VI3KjTQNMSsqkq1JYj0Eac&#10;3XhJIuJ1ZLtp+HvMCW6zmtXMm2I9mV6M5HxnGWE+S0AQ11Z33CBUx93dCoQPirXqLRPCN3lYl9dX&#10;hcq1vfA7jYfQiBjCPlcIbQhDLqWvWzLKz+xAHL1P64wK8XSN1E5dYrjpZZokmTSq49jQqoGeW6q/&#10;DmeDMIRhv3xxr2+b7W5Mqo99lXbNFvH2Zto8gQg0hb9n+MWP6FBGppM9s/aiR4hDAsL9wyqKaGfZ&#10;fAHihLDIHlOQZSH/Dyh/AAAA//8DAFBLAQItABQABgAIAAAAIQC2gziS/gAAAOEBAAATAAAAAAAA&#10;AAAAAAAAAAAAAABbQ29udGVudF9UeXBlc10ueG1sUEsBAi0AFAAGAAgAAAAhADj9If/WAAAAlAEA&#10;AAsAAAAAAAAAAAAAAAAALwEAAF9yZWxzLy5yZWxzUEsBAi0AFAAGAAgAAAAhAPjGKPYJAgAA8wMA&#10;AA4AAAAAAAAAAAAAAAAALgIAAGRycy9lMm9Eb2MueG1sUEsBAi0AFAAGAAgAAAAhAPO1VCXeAAAA&#10;CAEAAA8AAAAAAAAAAAAAAAAAYwQAAGRycy9kb3ducmV2LnhtbFBLBQYAAAAABAAEAPMAAABuBQAA&#10;AAA=&#10;" filled="f" stroked="f">
                <v:textbox style="mso-fit-shape-to-text:t">
                  <w:txbxContent>
                    <w:p w:rsidR="000E0B89" w:rsidRDefault="000E0B89" w:rsidP="000E0B89">
                      <w:r>
                        <w:t>Avrion d.o.o., Nikole Pavića 28, 10 090 Zagreb, OIB:67095305134</w:t>
                      </w:r>
                    </w:p>
                  </w:txbxContent>
                </v:textbox>
                <w10:wrap anchorx="margin"/>
              </v:shape>
            </w:pict>
          </mc:Fallback>
        </mc:AlternateContent>
      </w:r>
      <w:r w:rsidRPr="000E0B89">
        <w:rPr>
          <w:rFonts w:ascii="Calibri" w:eastAsia="Times New Roman" w:hAnsi="Calibri" w:cs="Arial"/>
          <w:noProof/>
        </w:rPr>
        <mc:AlternateContent>
          <mc:Choice Requires="wps">
            <w:drawing>
              <wp:anchor distT="45720" distB="45720" distL="114300" distR="114300" simplePos="0" relativeHeight="251661312" behindDoc="0" locked="0" layoutInCell="1" allowOverlap="1" wp14:anchorId="4F07FF31" wp14:editId="00D5C80E">
                <wp:simplePos x="0" y="0"/>
                <wp:positionH relativeFrom="column">
                  <wp:posOffset>1181100</wp:posOffset>
                </wp:positionH>
                <wp:positionV relativeFrom="paragraph">
                  <wp:posOffset>1476375</wp:posOffset>
                </wp:positionV>
                <wp:extent cx="4200525" cy="14046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1404620"/>
                        </a:xfrm>
                        <a:prstGeom prst="rect">
                          <a:avLst/>
                        </a:prstGeom>
                        <a:noFill/>
                        <a:ln w="9525">
                          <a:noFill/>
                          <a:miter lim="800000"/>
                          <a:headEnd/>
                          <a:tailEnd/>
                        </a:ln>
                      </wps:spPr>
                      <wps:txbx>
                        <w:txbxContent>
                          <w:p w:rsidR="000E0B89" w:rsidRDefault="000E0B89" w:rsidP="000E0B89">
                            <w:r>
                              <w:t>117268383</w:t>
                            </w:r>
                            <w:r>
                              <w:t xml:space="preserve">                             </w:t>
                            </w:r>
                            <w:r>
                              <w:t>PU ZAGREBAČKA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07FF31" id="_x0000_s1027" type="#_x0000_t202" style="position:absolute;left:0;text-align:left;margin-left:93pt;margin-top:116.25pt;width:330.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Nj6CgIAAPoDAAAOAAAAZHJzL2Uyb0RvYy54bWysU9tuGyEQfa/Uf0C817u21mmy8jpKk7qq&#10;lF6kpB8wZlkvKjAUsHfTr+/AOo6VvlXlAQEzHOacM6yuR6PZQfqg0DZ8Pis5k1Zgq+yu4T8eN+8u&#10;OQsRbAsarWz4kwz8ev32zWpwtVxgj7qVnhGIDfXgGt7H6OqiCKKXBsIMnbQU7NAbiLT1u6L1MBC6&#10;0cWiLC+KAX3rPAoZAp3eTUG+zvhdJ0X81nVBRqYbTrXFPPs8b9NcrFdQ7zy4XoljGfAPVRhQlh49&#10;Qd1BBLb36i8oo4THgF2cCTQFdp0SMnMgNvPyFZuHHpzMXEic4E4yhf8HK74evnumWvKOMwuGLHqU&#10;Y2QfcGSLpM7gQk1JD47S4kjHKTMxDe4exc/ALN72YHfyxnscegktVTdPN4uzqxNOSCDb4Qu29Azs&#10;I2agsfMmAZIYjNDJpaeTM6kUQYcVeb1cLDkTFJtXZXWxyN4VUD9fdz7ETxINS4uGe7I+w8PhPsRU&#10;DtTPKek1ixuldbZfWzY0/Crhv4oYFak7tTINvyzTmPolsfxo23w5gtLTmh7Q9kg7MZ04x3E7HvWl&#10;/CTJFtsn0sHj1Iz0eWjRo//N2UCN2PDwaw9ecqY/W9Lyal5VqXPzplq+J+LMn0e25xGwgqAaHjmb&#10;lrcxd/vk2A1pvlFZjZdKjiVTg2WRjp8hdfD5Pme9fNn1HwAAAP//AwBQSwMEFAAGAAgAAAAhAMq9&#10;MDfgAAAACwEAAA8AAABkcnMvZG93bnJldi54bWxMj0tPwzAQhO9I/AdrkbhRh/SRKMSpKtSWI6VE&#10;nN14m0SNH7LdNPx7lhPcdrSjmW/K9aQHNqIPvTUCnmcJMDSNVb1pBdSfu6ccWIjSKDlYgwK+McC6&#10;ur8rZaHszXzgeIwtoxATCimgi9EVnIemQy3DzDo09Dtbr2Uk6VuuvLxRuB54miQrrmVvqKGTDl87&#10;bC7Hqxbgottnb/79sNnuxqT+2tdp326FeHyYNi/AIk7xzwy/+IQOFTGd7NWowAbS+Yq2RAHpPF0C&#10;I0e+yOg4CVgs5xnwquT/N1Q/AAAA//8DAFBLAQItABQABgAIAAAAIQC2gziS/gAAAOEBAAATAAAA&#10;AAAAAAAAAAAAAAAAAABbQ29udGVudF9UeXBlc10ueG1sUEsBAi0AFAAGAAgAAAAhADj9If/WAAAA&#10;lAEAAAsAAAAAAAAAAAAAAAAALwEAAF9yZWxzLy5yZWxzUEsBAi0AFAAGAAgAAAAhAJhs2PoKAgAA&#10;+gMAAA4AAAAAAAAAAAAAAAAALgIAAGRycy9lMm9Eb2MueG1sUEsBAi0AFAAGAAgAAAAhAMq9MDfg&#10;AAAACwEAAA8AAAAAAAAAAAAAAAAAZAQAAGRycy9kb3ducmV2LnhtbFBLBQYAAAAABAAEAPMAAABx&#10;BQAAAAA=&#10;" filled="f" stroked="f">
                <v:textbox style="mso-fit-shape-to-text:t">
                  <w:txbxContent>
                    <w:p w:rsidR="000E0B89" w:rsidRDefault="000E0B89" w:rsidP="000E0B89">
                      <w:r>
                        <w:t>117268383</w:t>
                      </w:r>
                      <w:r>
                        <w:t xml:space="preserve">                             </w:t>
                      </w:r>
                      <w:r>
                        <w:t>PU ZAGREBAČKA</w:t>
                      </w:r>
                    </w:p>
                  </w:txbxContent>
                </v:textbox>
              </v:shape>
            </w:pict>
          </mc:Fallback>
        </mc:AlternateContent>
      </w:r>
      <w:r w:rsidRPr="000E0B89">
        <w:rPr>
          <w:rFonts w:ascii="Calibri" w:eastAsia="Times New Roman" w:hAnsi="Calibri" w:cs="Arial"/>
          <w:noProof/>
        </w:rPr>
        <mc:AlternateContent>
          <mc:Choice Requires="wps">
            <w:drawing>
              <wp:anchor distT="45720" distB="45720" distL="114300" distR="114300" simplePos="0" relativeHeight="251659264" behindDoc="0" locked="0" layoutInCell="1" allowOverlap="1">
                <wp:simplePos x="0" y="0"/>
                <wp:positionH relativeFrom="column">
                  <wp:posOffset>780415</wp:posOffset>
                </wp:positionH>
                <wp:positionV relativeFrom="paragraph">
                  <wp:posOffset>904875</wp:posOffset>
                </wp:positionV>
                <wp:extent cx="420052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1404620"/>
                        </a:xfrm>
                        <a:prstGeom prst="rect">
                          <a:avLst/>
                        </a:prstGeom>
                        <a:noFill/>
                        <a:ln w="9525">
                          <a:noFill/>
                          <a:miter lim="800000"/>
                          <a:headEnd/>
                          <a:tailEnd/>
                        </a:ln>
                      </wps:spPr>
                      <wps:txbx>
                        <w:txbxContent>
                          <w:p w:rsidR="000E0B89" w:rsidRDefault="000E0B89">
                            <w:r>
                              <w:t>Tatjana Ferenčak                                Nikole Pavića 28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61.45pt;margin-top:71.25pt;width:330.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JM5DQIAAPwDAAAOAAAAZHJzL2Uyb0RvYy54bWysU9uO2yAQfa/Uf0C8N77I2YsVZ7XdbapK&#10;24u02w/AGMeowFAgsdOv74CTNNq+VeUBAQNn5pw5rO4mrcheOC/BNLRY5JQIw6GTZtvQ7y+bdzeU&#10;+MBMxxQY0dCD8PRu/fbNarS1KGEA1QlHEMT4erQNHUKwdZZ5PgjN/AKsMBjswWkWcOu2WefYiOha&#10;ZWWeX2UjuM464MJ7PH2cg3Sd8Pte8PC1770IRDUUawtpdmlu45ytV6zeOmYHyY9lsH+oQjNpMOkZ&#10;6pEFRnZO/gWlJXfgoQ8LDjqDvpdcJA7IpshfsXkemBWJC4rj7Vkm//9g+Zf9N0dk19CyuKbEMI1N&#10;ehFTIO9hImXUZ7S+xmvPFi+GCY+xz4mrt0/Af3hi4GFgZivunYNxEKzD+or4Mrt4OuP4CNKOn6HD&#10;NGwXIAFNvdNRPJSDIDr26XDuTSyF42GF3V6WS0o4xooqr67K1L2M1afn1vnwUYAmcdFQh81P8Gz/&#10;5EMsh9WnKzGbgY1UKhlAGTI29Dbiv4poGdCfSuqG3uRxzI6JLD+YLj0OTKp5jQmUOdKOTGfOYWqn&#10;WeGTmi10B9TBwWxH/D64GMD9omREKzbU/9wxJyhRnwxqeVtUVfRu2lTLayRO3GWkvYwwwxGqoYGS&#10;efkQkt8jMW/vUfONTGrE5syVHEtGiyWRjt8hevhyn279+bTr3wAAAP//AwBQSwMEFAAGAAgAAAAh&#10;AFWEKgfgAAAACwEAAA8AAABkcnMvZG93bnJldi54bWxMj8tOwzAQRfdI/IM1SOyogxuaNsSpKtSW&#10;ZaFEXbvxkETED8VuGv6eYQW7uZqjO2eK9WR6NuIQOmclPM4SYGhrpzvbSKg+dg9LYCEqq1XvLEr4&#10;xgDr8vamULl2V/uO4zE2jEpsyJWENkafcx7qFo0KM+fR0u7TDUZFikPD9aCuVG56LpJkwY3qLF1o&#10;lceXFuuv48VI8NHvs9fh8LbZ7sakOu0r0TVbKe/vps0zsIhT/IPhV5/UoSSns7tYHVhPWYgVoTSk&#10;4gkYEdkyTYGdJcwX8wx4WfD/P5Q/AAAA//8DAFBLAQItABQABgAIAAAAIQC2gziS/gAAAOEBAAAT&#10;AAAAAAAAAAAAAAAAAAAAAABbQ29udGVudF9UeXBlc10ueG1sUEsBAi0AFAAGAAgAAAAhADj9If/W&#10;AAAAlAEAAAsAAAAAAAAAAAAAAAAALwEAAF9yZWxzLy5yZWxzUEsBAi0AFAAGAAgAAAAhAPLAkzkN&#10;AgAA/AMAAA4AAAAAAAAAAAAAAAAALgIAAGRycy9lMm9Eb2MueG1sUEsBAi0AFAAGAAgAAAAhAFWE&#10;KgfgAAAACwEAAA8AAAAAAAAAAAAAAAAAZwQAAGRycy9kb3ducmV2LnhtbFBLBQYAAAAABAAEAPMA&#10;AAB0BQAAAAA=&#10;" filled="f" stroked="f">
                <v:textbox style="mso-fit-shape-to-text:t">
                  <w:txbxContent>
                    <w:p w:rsidR="000E0B89" w:rsidRDefault="000E0B89">
                      <w:r>
                        <w:t>Tatjana Ferenčak                                Nikole Pavića 28</w:t>
                      </w:r>
                    </w:p>
                  </w:txbxContent>
                </v:textbox>
              </v:shape>
            </w:pict>
          </mc:Fallback>
        </mc:AlternateContent>
      </w:r>
      <w:r w:rsidR="00E056D0" w:rsidRPr="00336D3A">
        <w:rPr>
          <w:noProof/>
        </w:rPr>
        <w:drawing>
          <wp:inline distT="0" distB="0" distL="0" distR="0" wp14:anchorId="1DE894CE" wp14:editId="7EA15901">
            <wp:extent cx="5849620" cy="8686800"/>
            <wp:effectExtent l="0" t="0" r="0" b="0"/>
            <wp:docPr id="89485391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849620" cy="8686800"/>
                    </a:xfrm>
                    <a:prstGeom prst="rect">
                      <a:avLst/>
                    </a:prstGeom>
                    <a:noFill/>
                    <a:ln>
                      <a:noFill/>
                    </a:ln>
                  </pic:spPr>
                </pic:pic>
              </a:graphicData>
            </a:graphic>
          </wp:inline>
        </w:drawing>
      </w:r>
    </w:p>
    <w:p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d) terorizam ili kaznena djela povezana s terorističkim aktivnostima, na temelju</w:t>
      </w:r>
    </w:p>
    <w:p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 članka 97. (terorizam), članka 99. (javno poticanje na terorizam), članka 100. (novačenje za terorizam), članka 101. (obuka za terorizam) i članka 102. (terorističko udruženje) Kaznenog zakona</w:t>
      </w:r>
    </w:p>
    <w:p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 članka 169. (terorizam), članka 169.a (javno poticanje na terorizam) i članka 169.b (novačenje i obuka za terorizam) iz Kaznenog zakona (»Narodne novine«, br. 110/97., 27/98., 50/00., 129/00., 51/01., 111/03., 190/03., 105/04., 84/05., 71/06., 110/07., 152/08., 57/11., 77/11. i 143/12.)</w:t>
      </w:r>
    </w:p>
    <w:p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e) pranje novca ili financiranje terorizma, na temelju</w:t>
      </w:r>
    </w:p>
    <w:p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 članka 98. (financiranje terorizma) i članka 265. (pranje novca) Kaznenog zakona</w:t>
      </w:r>
    </w:p>
    <w:p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 članka 279. (pranje novca) iz Kaznenog zakona (»Narodne novine«, br. 110/97., 27/98., 50/00., 129/00., 51/01., 111/03., 190/03., 105/04., 84/05., 71/06., 110/07., 152/08., 57/11., 77/11. i 143/12.)</w:t>
      </w:r>
    </w:p>
    <w:p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f) dječji rad ili druge oblike trgovanja ljudima, na temelju</w:t>
      </w:r>
    </w:p>
    <w:p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 članka 106. (trgovanje ljudima) Kaznenog zakona</w:t>
      </w:r>
    </w:p>
    <w:p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 članka 175. (trgovanje ljudima i ropstvo) iz Kaznenog zakona (»Narodne novine«, br. 110/97., 27/98., 50/00., 129/00., 51/01., 111/03., 190/03., 105/04., 84/05., 71/06., 110/07., 152/08., 57/11., 77/11. i 143/12.) odnosno</w:t>
      </w:r>
    </w:p>
    <w:p w:rsidR="00E056D0" w:rsidRPr="005A5002" w:rsidRDefault="000E0B89" w:rsidP="00E056D0">
      <w:pPr>
        <w:spacing w:after="0" w:line="360" w:lineRule="auto"/>
        <w:rPr>
          <w:rFonts w:ascii="Calibri" w:eastAsia="Times New Roman" w:hAnsi="Calibri" w:cs="Arial"/>
        </w:rPr>
      </w:pPr>
      <w:r>
        <w:rPr>
          <w:rFonts w:ascii="Calibri" w:eastAsia="Times New Roman" w:hAnsi="Calibri" w:cs="Arial"/>
          <w:noProof/>
          <w14:ligatures w14:val="standardContextual"/>
        </w:rPr>
        <w:drawing>
          <wp:anchor distT="0" distB="0" distL="114300" distR="114300" simplePos="0" relativeHeight="251664384" behindDoc="1" locked="0" layoutInCell="1" allowOverlap="1">
            <wp:simplePos x="0" y="0"/>
            <wp:positionH relativeFrom="column">
              <wp:posOffset>3257550</wp:posOffset>
            </wp:positionH>
            <wp:positionV relativeFrom="paragraph">
              <wp:posOffset>1415415</wp:posOffset>
            </wp:positionV>
            <wp:extent cx="2905125" cy="164084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žig s potpisom Avrion.JPG"/>
                    <pic:cNvPicPr/>
                  </pic:nvPicPr>
                  <pic:blipFill>
                    <a:blip r:embed="rId5">
                      <a:extLst>
                        <a:ext uri="{28A0092B-C50C-407E-A947-70E740481C1C}">
                          <a14:useLocalDpi xmlns:a14="http://schemas.microsoft.com/office/drawing/2010/main" val="0"/>
                        </a:ext>
                      </a:extLst>
                    </a:blip>
                    <a:stretch>
                      <a:fillRect/>
                    </a:stretch>
                  </pic:blipFill>
                  <pic:spPr>
                    <a:xfrm>
                      <a:off x="0" y="0"/>
                      <a:ext cx="2905125" cy="1640840"/>
                    </a:xfrm>
                    <a:prstGeom prst="rect">
                      <a:avLst/>
                    </a:prstGeom>
                  </pic:spPr>
                </pic:pic>
              </a:graphicData>
            </a:graphic>
          </wp:anchor>
        </w:drawing>
      </w:r>
      <w:r w:rsidR="00E056D0" w:rsidRPr="005A5002">
        <w:rPr>
          <w:rFonts w:ascii="Calibri" w:eastAsia="Times New Roman" w:hAnsi="Calibri" w:cs="Arial"/>
        </w:rPr>
        <w:t>da gospodarski subjekt koji nema poslovni nastan u Republici Hrvatskoj ili osoba koja je član upravnog, upravljačkog ili nadzornog tijela ili ima ovlasti zastupanja, donošenja odluka ili nadzora toga gospodarskog subjekta i koja nije državljanin Republike Hrvatske nisu pravomoćnom presudom osuđena za kaznena djela navedena od podtočaka a) do f) u ovoj izjavi i za odgovarajuća kaznena djela koja, prema nacionalnim propisima države poslovnog nastana gospodarskog subjekta, odnosno države čiji je osoba državljanin, obuhvaćaju razloge za isključenje iz članka 57. stavka 1. točaka od (a) do (f) Direktive 2014/24/EU.</w:t>
      </w:r>
    </w:p>
    <w:p w:rsidR="00E056D0" w:rsidRPr="005A5002" w:rsidRDefault="00E056D0" w:rsidP="00E056D0">
      <w:pPr>
        <w:spacing w:after="0" w:line="360" w:lineRule="auto"/>
        <w:rPr>
          <w:rFonts w:ascii="Calibri" w:eastAsia="Times New Roman" w:hAnsi="Calibri" w:cs="Arial"/>
        </w:rPr>
      </w:pPr>
    </w:p>
    <w:p w:rsidR="00E056D0" w:rsidRDefault="00E056D0" w:rsidP="00E056D0">
      <w:pPr>
        <w:spacing w:after="0" w:line="360" w:lineRule="auto"/>
        <w:rPr>
          <w:rFonts w:ascii="Calibri" w:eastAsia="Times New Roman" w:hAnsi="Calibri" w:cs="Arial"/>
        </w:rPr>
      </w:pPr>
      <w:r w:rsidRPr="005A5002">
        <w:rPr>
          <w:rFonts w:ascii="Calibri" w:eastAsia="Times New Roman" w:hAnsi="Calibri" w:cs="Arial"/>
        </w:rPr>
        <w:t>U __</w:t>
      </w:r>
      <w:r w:rsidR="000E0B89">
        <w:rPr>
          <w:rFonts w:ascii="Calibri" w:eastAsia="Times New Roman" w:hAnsi="Calibri" w:cs="Arial"/>
        </w:rPr>
        <w:t>Zagrebu</w:t>
      </w:r>
      <w:r w:rsidRPr="005A5002">
        <w:rPr>
          <w:rFonts w:ascii="Calibri" w:eastAsia="Times New Roman" w:hAnsi="Calibri" w:cs="Arial"/>
        </w:rPr>
        <w:t>______, __</w:t>
      </w:r>
      <w:r w:rsidR="000E0B89">
        <w:rPr>
          <w:rFonts w:ascii="Calibri" w:eastAsia="Times New Roman" w:hAnsi="Calibri" w:cs="Arial"/>
        </w:rPr>
        <w:t>15.05.2025</w:t>
      </w:r>
      <w:r w:rsidRPr="005A5002">
        <w:rPr>
          <w:rFonts w:ascii="Calibri" w:eastAsia="Times New Roman" w:hAnsi="Calibri" w:cs="Arial"/>
        </w:rPr>
        <w:t>_  godine.</w:t>
      </w:r>
      <w:r w:rsidRPr="005A5002">
        <w:rPr>
          <w:rFonts w:ascii="Calibri" w:eastAsia="Times New Roman" w:hAnsi="Calibri" w:cs="Arial"/>
        </w:rPr>
        <w:tab/>
      </w:r>
      <w:r w:rsidRPr="005A5002">
        <w:rPr>
          <w:rFonts w:ascii="Calibri" w:eastAsia="Times New Roman" w:hAnsi="Calibri" w:cs="Arial"/>
        </w:rPr>
        <w:tab/>
      </w:r>
      <w:r w:rsidRPr="005A5002">
        <w:rPr>
          <w:rFonts w:ascii="Calibri" w:eastAsia="Times New Roman" w:hAnsi="Calibri" w:cs="Arial"/>
        </w:rPr>
        <w:tab/>
      </w:r>
    </w:p>
    <w:p w:rsidR="00E056D0" w:rsidRDefault="00E056D0" w:rsidP="00E056D0">
      <w:pPr>
        <w:spacing w:after="0" w:line="360" w:lineRule="auto"/>
        <w:rPr>
          <w:rFonts w:ascii="Calibri" w:eastAsia="Times New Roman" w:hAnsi="Calibri" w:cs="Arial"/>
        </w:rPr>
      </w:pPr>
    </w:p>
    <w:p w:rsidR="00E056D0" w:rsidRPr="005A5002" w:rsidRDefault="00E056D0" w:rsidP="00E056D0">
      <w:pPr>
        <w:spacing w:after="0" w:line="360" w:lineRule="auto"/>
        <w:rPr>
          <w:rFonts w:ascii="Calibri" w:eastAsia="Times New Roman" w:hAnsi="Calibri" w:cs="Arial"/>
        </w:rPr>
      </w:pPr>
      <w:r w:rsidRPr="005A5002">
        <w:rPr>
          <w:rFonts w:ascii="Calibri" w:eastAsia="Times New Roman" w:hAnsi="Calibri" w:cs="Arial"/>
        </w:rPr>
        <w:tab/>
      </w:r>
    </w:p>
    <w:p w:rsidR="00E056D0" w:rsidRPr="005A5002" w:rsidRDefault="00E056D0" w:rsidP="00E056D0">
      <w:pPr>
        <w:spacing w:after="0" w:line="360" w:lineRule="auto"/>
        <w:jc w:val="right"/>
        <w:rPr>
          <w:rFonts w:ascii="Calibri" w:eastAsia="Times New Roman" w:hAnsi="Calibri" w:cs="Arial"/>
          <w:i/>
          <w:color w:val="808080"/>
        </w:rPr>
      </w:pPr>
      <w:r w:rsidRPr="005A5002">
        <w:rPr>
          <w:rFonts w:ascii="Calibri" w:eastAsia="Times New Roman" w:hAnsi="Calibri" w:cs="Arial"/>
        </w:rPr>
        <w:t>M.P.</w:t>
      </w:r>
      <w:r w:rsidRPr="005A5002">
        <w:rPr>
          <w:rFonts w:ascii="Calibri" w:eastAsia="Times New Roman" w:hAnsi="Calibri" w:cs="Arial"/>
        </w:rPr>
        <w:tab/>
        <w:t xml:space="preserve">          _____________________________</w:t>
      </w:r>
    </w:p>
    <w:p w:rsidR="00E056D0" w:rsidRPr="005A5002" w:rsidRDefault="00E056D0" w:rsidP="00E056D0">
      <w:pPr>
        <w:spacing w:after="0" w:line="360" w:lineRule="auto"/>
        <w:jc w:val="center"/>
        <w:rPr>
          <w:rFonts w:ascii="Calibri" w:eastAsia="Times New Roman" w:hAnsi="Calibri" w:cs="Arial"/>
          <w:i/>
          <w:color w:val="808080"/>
        </w:rPr>
      </w:pPr>
      <w:r w:rsidRPr="005A5002">
        <w:rPr>
          <w:rFonts w:ascii="Calibri" w:eastAsia="Times New Roman" w:hAnsi="Calibri" w:cs="Arial"/>
          <w:i/>
          <w:color w:val="808080"/>
        </w:rPr>
        <w:t xml:space="preserve">                               </w:t>
      </w:r>
      <w:bookmarkStart w:id="0" w:name="_GoBack"/>
      <w:bookmarkEnd w:id="0"/>
      <w:r w:rsidRPr="005A5002">
        <w:rPr>
          <w:rFonts w:ascii="Calibri" w:eastAsia="Times New Roman" w:hAnsi="Calibri" w:cs="Arial"/>
          <w:i/>
          <w:color w:val="808080"/>
        </w:rPr>
        <w:t xml:space="preserve">                                                                                                       (potpis)</w:t>
      </w:r>
    </w:p>
    <w:p w:rsidR="00DB11D8" w:rsidRDefault="00DB11D8"/>
    <w:sectPr w:rsidR="00DB11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6D0"/>
    <w:rsid w:val="000E0B89"/>
    <w:rsid w:val="00185B53"/>
    <w:rsid w:val="00DB11D8"/>
    <w:rsid w:val="00E056D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00A2A"/>
  <w15:chartTrackingRefBased/>
  <w15:docId w15:val="{7DA8BC77-DA10-4675-B678-FD73A06B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6D0"/>
    <w:pPr>
      <w:spacing w:after="120" w:line="240" w:lineRule="auto"/>
      <w:jc w:val="both"/>
    </w:pPr>
    <w:rPr>
      <w:rFonts w:eastAsiaTheme="minorEastAsia"/>
      <w:kern w:val="0"/>
      <w:lang w:eastAsia="hr-H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357</Words>
  <Characters>2037</Characters>
  <Application>Microsoft Office Word</Application>
  <DocSecurity>0</DocSecurity>
  <Lines>16</Lines>
  <Paragraphs>4</Paragraphs>
  <ScaleCrop>false</ScaleCrop>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pc7</dc:creator>
  <cp:keywords/>
  <dc:description/>
  <cp:lastModifiedBy>Gordan Ferenčak - Avrion</cp:lastModifiedBy>
  <cp:revision>2</cp:revision>
  <dcterms:created xsi:type="dcterms:W3CDTF">2024-06-17T11:20:00Z</dcterms:created>
  <dcterms:modified xsi:type="dcterms:W3CDTF">2025-05-15T20:20:00Z</dcterms:modified>
</cp:coreProperties>
</file>